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81DE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C81DE9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C81DE9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C81DE9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C81DE9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C81DE9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81DE9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81DE9" w:rsidRDefault="00566019" w:rsidP="00F12D91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F12D91" w:rsidRPr="00C81DE9">
                    <w:rPr>
                      <w:b/>
                      <w:sz w:val="20"/>
                      <w:szCs w:val="20"/>
                      <w:lang w:val="fr-FR"/>
                    </w:rPr>
                    <w:t>4/ JUN</w:t>
                  </w:r>
                  <w:r w:rsidR="001818A9"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 201</w:t>
                  </w:r>
                  <w:r w:rsidR="00E70A7A" w:rsidRPr="00C81DE9">
                    <w:rPr>
                      <w:b/>
                      <w:sz w:val="20"/>
                      <w:szCs w:val="20"/>
                      <w:lang w:val="fr-FR"/>
                    </w:rPr>
                    <w:t>7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81DE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C81DE9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C81DE9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C81DE9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C81DE9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81DE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81DE9" w:rsidRDefault="00A94E53" w:rsidP="002B4221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b/>
                      <w:sz w:val="20"/>
                      <w:szCs w:val="20"/>
                    </w:rPr>
                    <w:t>WBC</w:t>
                  </w:r>
                  <w:r w:rsidR="002B4221">
                    <w:rPr>
                      <w:rFonts w:cs="Arial"/>
                      <w:b/>
                      <w:sz w:val="20"/>
                      <w:szCs w:val="20"/>
                    </w:rPr>
                    <w:t>8022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81DE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C81DE9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C81DE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81DE9">
                    <w:rPr>
                      <w:sz w:val="20"/>
                      <w:szCs w:val="20"/>
                    </w:rPr>
                    <w:t>(</w:t>
                  </w:r>
                  <w:r w:rsidRPr="00C81DE9">
                    <w:rPr>
                      <w:i/>
                      <w:sz w:val="20"/>
                      <w:szCs w:val="20"/>
                    </w:rPr>
                    <w:t>NAME OF</w:t>
                  </w:r>
                  <w:r w:rsidRPr="00C81DE9">
                    <w:rPr>
                      <w:sz w:val="20"/>
                      <w:szCs w:val="20"/>
                    </w:rPr>
                    <w:t xml:space="preserve"> </w:t>
                  </w:r>
                  <w:r w:rsidRPr="00C81DE9">
                    <w:rPr>
                      <w:i/>
                      <w:sz w:val="20"/>
                      <w:szCs w:val="20"/>
                    </w:rPr>
                    <w:t>COURSE</w:t>
                  </w:r>
                  <w:r w:rsidRPr="00C81DE9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81DE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81DE9" w:rsidRDefault="00C81DE9" w:rsidP="00A94E5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C81DE9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BAHASA CINA</w:t>
                  </w:r>
                  <w:r w:rsidR="002B4221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C81DE9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C81DE9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C81DE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C81DE9">
                    <w:rPr>
                      <w:bCs/>
                      <w:sz w:val="20"/>
                      <w:szCs w:val="20"/>
                    </w:rPr>
                    <w:t>(</w:t>
                  </w:r>
                  <w:r w:rsidRPr="00C81DE9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C81DE9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C81DE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C81DE9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C81DE9" w:rsidRPr="009D755A" w:rsidTr="00C81DE9">
              <w:tc>
                <w:tcPr>
                  <w:tcW w:w="2520" w:type="dxa"/>
                  <w:shd w:val="clear" w:color="auto" w:fill="auto"/>
                </w:tcPr>
                <w:p w:rsidR="00C81DE9" w:rsidRPr="009D755A" w:rsidRDefault="00C81DE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C81DE9" w:rsidRPr="009D755A" w:rsidRDefault="00C81DE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81DE9" w:rsidRPr="009D755A" w:rsidRDefault="00C81DE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C81DE9" w:rsidRPr="009D755A" w:rsidRDefault="00C81DE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81DE9" w:rsidRPr="009D755A" w:rsidRDefault="00C81DE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C81DE9" w:rsidRPr="009D755A" w:rsidRDefault="00C81DE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561821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561821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8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81DE9" w:rsidRPr="009D755A" w:rsidTr="00C81DE9">
              <w:tc>
                <w:tcPr>
                  <w:tcW w:w="2520" w:type="dxa"/>
                  <w:vMerge/>
                  <w:shd w:val="clear" w:color="auto" w:fill="auto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C81DE9" w:rsidRPr="009D755A" w:rsidRDefault="00C81DE9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81DE9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C81DE9" w:rsidRPr="009D755A" w:rsidTr="00C81DE9">
              <w:tc>
                <w:tcPr>
                  <w:tcW w:w="7020" w:type="dxa"/>
                  <w:gridSpan w:val="2"/>
                  <w:shd w:val="clear" w:color="auto" w:fill="auto"/>
                </w:tcPr>
                <w:p w:rsidR="00C81DE9" w:rsidRPr="009D755A" w:rsidRDefault="00C81DE9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C81DE9" w:rsidRPr="009D755A" w:rsidRDefault="00C81DE9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C81DE9" w:rsidRDefault="00C81DE9" w:rsidP="0079148B">
                  <w:pPr>
                    <w:rPr>
                      <w:b/>
                      <w:sz w:val="20"/>
                      <w:szCs w:val="20"/>
                    </w:rPr>
                  </w:pPr>
                  <w:r w:rsidRPr="00C81DE9"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C81DE9" w:rsidRPr="009D755A" w:rsidTr="00C81DE9">
              <w:tc>
                <w:tcPr>
                  <w:tcW w:w="7020" w:type="dxa"/>
                  <w:gridSpan w:val="2"/>
                  <w:shd w:val="clear" w:color="auto" w:fill="auto"/>
                </w:tcPr>
                <w:p w:rsidR="00C81DE9" w:rsidRPr="009D755A" w:rsidRDefault="00C81DE9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C81DE9" w:rsidRPr="009D755A" w:rsidRDefault="00C81DE9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81DE9" w:rsidRPr="009D755A" w:rsidRDefault="00C81DE9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2B4221" w:rsidRDefault="002B4221" w:rsidP="002B4221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2B4221">
                    <w:rPr>
                      <w:rFonts w:cs="Arial"/>
                      <w:sz w:val="20"/>
                      <w:szCs w:val="20"/>
                    </w:rPr>
                    <w:t>WBC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7032</w:t>
                  </w:r>
                  <w:r w:rsidRPr="002B4221">
                    <w:rPr>
                      <w:rFonts w:cs="Arial"/>
                      <w:sz w:val="20"/>
                      <w:szCs w:val="20"/>
                    </w:rPr>
                    <w:t xml:space="preserve"> -</w:t>
                  </w:r>
                  <w:r w:rsidRPr="002B42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BAHASA CINA II</w:t>
                  </w: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A94E53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A94E53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A94E5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(</w:t>
            </w:r>
            <w:r w:rsidRPr="00A94E53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A94E53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94E53" w:rsidRDefault="00044790" w:rsidP="00044790">
            <w:pPr>
              <w:ind w:left="144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 xml:space="preserve"> </w:t>
            </w:r>
            <w:r w:rsidR="00A94E53" w:rsidRP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>Bahasa Cina merupakan salah satu bahasa yang semakin berpengaruh di peringkat antarabangsa.</w:t>
            </w:r>
            <w:r w:rsid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 xml:space="preserve"> </w:t>
            </w:r>
            <w:r w:rsidR="00A94E53" w:rsidRP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>Oleh yang demikian, BAHASA CINA KOLEJ VOKASIONAL diperkenalkan untuk memenuhi keperluan semasa.</w:t>
            </w:r>
          </w:p>
          <w:p w:rsidR="00855FC8" w:rsidRPr="00A94E53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A94E53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A94E53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A94E5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(</w:t>
            </w:r>
            <w:r w:rsidRPr="00A94E53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1D61D0" w:rsidRPr="00A94E53" w:rsidRDefault="00A94E53" w:rsidP="00C81DE9">
            <w:pPr>
              <w:shd w:val="clear" w:color="auto" w:fill="FFFFFF"/>
              <w:spacing w:before="135" w:after="135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>Secara umumnya, bahasa Cina merupakan salah satu bahasa yang semakin berpengaruh di peringkat antarabangsa.Oleh yang demikian, BAHASA CINA KOLEJ VOKASIONAL diperkenalkan untuk memenuhi keperlu</w:t>
            </w:r>
            <w:bookmarkStart w:id="0" w:name="_GoBack"/>
            <w:bookmarkEnd w:id="0"/>
            <w:r w:rsidRPr="00A94E53">
              <w:rPr>
                <w:rFonts w:asciiTheme="majorHAnsi" w:hAnsiTheme="majorHAnsi" w:cs="Arial"/>
                <w:sz w:val="20"/>
                <w:szCs w:val="20"/>
                <w:lang w:val="ms-MY"/>
              </w:rPr>
              <w:t>an semasa. Melalui modul ini, pelajar dapat menguasai kemahiran asas mendengar, bertutur, membaca dan menulis dalam bahasa Cina.</w:t>
            </w: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A94E53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94E53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A94E5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(</w:t>
            </w:r>
            <w:r w:rsidRPr="00A94E53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A94E53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A94E53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94E53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94E53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A1669E" w:rsidRPr="00A1669E" w:rsidTr="00A940A8">
              <w:trPr>
                <w:trHeight w:val="288"/>
              </w:trPr>
              <w:tc>
                <w:tcPr>
                  <w:tcW w:w="522" w:type="dxa"/>
                </w:tcPr>
                <w:p w:rsidR="00A1669E" w:rsidRPr="00A1669E" w:rsidRDefault="00A1669E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A1669E" w:rsidRPr="00A1669E" w:rsidRDefault="00A1669E" w:rsidP="00DC6C86">
                  <w:pPr>
                    <w:autoSpaceDE w:val="0"/>
                    <w:autoSpaceDN w:val="0"/>
                    <w:adjustRightInd w:val="0"/>
                    <w:snapToGrid w:val="0"/>
                    <w:contextualSpacing/>
                    <w:jc w:val="both"/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>Menggunakan bahasa Cina dengan betul dalam situasi tertentu (C3,PLO1)</w:t>
                  </w:r>
                </w:p>
              </w:tc>
            </w:tr>
            <w:tr w:rsidR="00A1669E" w:rsidRPr="00A1669E" w:rsidTr="00A940A8">
              <w:trPr>
                <w:trHeight w:val="288"/>
              </w:trPr>
              <w:tc>
                <w:tcPr>
                  <w:tcW w:w="522" w:type="dxa"/>
                </w:tcPr>
                <w:p w:rsidR="00A1669E" w:rsidRPr="00A1669E" w:rsidRDefault="00A1669E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A1669E" w:rsidRPr="00A1669E" w:rsidRDefault="00A1669E" w:rsidP="00DC6C86">
                  <w:pPr>
                    <w:autoSpaceDE w:val="0"/>
                    <w:autoSpaceDN w:val="0"/>
                    <w:adjustRightInd w:val="0"/>
                    <w:snapToGrid w:val="0"/>
                    <w:contextualSpacing/>
                    <w:jc w:val="both"/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 xml:space="preserve"> Mencantumkan frasa-frasa yang bersesuaian dengan situasi tertentu (P4,PLO4)</w:t>
                  </w:r>
                </w:p>
              </w:tc>
            </w:tr>
            <w:tr w:rsidR="00A1669E" w:rsidRPr="00A1669E" w:rsidTr="00A940A8">
              <w:trPr>
                <w:trHeight w:val="288"/>
              </w:trPr>
              <w:tc>
                <w:tcPr>
                  <w:tcW w:w="522" w:type="dxa"/>
                </w:tcPr>
                <w:p w:rsidR="00A1669E" w:rsidRPr="00A1669E" w:rsidRDefault="00A1669E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A1669E" w:rsidRPr="00A1669E" w:rsidRDefault="00A1669E" w:rsidP="00DC6C86">
                  <w:pPr>
                    <w:autoSpaceDE w:val="0"/>
                    <w:autoSpaceDN w:val="0"/>
                    <w:adjustRightInd w:val="0"/>
                    <w:snapToGrid w:val="0"/>
                    <w:contextualSpacing/>
                    <w:jc w:val="both"/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 xml:space="preserve"> Berkomunikasi dalam bahasa Cina menggunakan bahasa mudah dalam situasi tertentu (A2,PLO7)</w:t>
                  </w:r>
                </w:p>
              </w:tc>
            </w:tr>
          </w:tbl>
          <w:p w:rsidR="009F7D82" w:rsidRPr="00A94E53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94E53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Style w:val="TableGrid"/>
              <w:tblW w:w="9787" w:type="dxa"/>
              <w:tblLayout w:type="fixed"/>
              <w:tblLook w:val="01E0"/>
            </w:tblPr>
            <w:tblGrid>
              <w:gridCol w:w="1147"/>
              <w:gridCol w:w="606"/>
              <w:gridCol w:w="639"/>
              <w:gridCol w:w="4605"/>
              <w:gridCol w:w="1228"/>
              <w:gridCol w:w="1562"/>
            </w:tblGrid>
            <w:tr w:rsidR="00D82BEC" w:rsidRPr="00A1669E" w:rsidTr="00D82BEC">
              <w:tc>
                <w:tcPr>
                  <w:tcW w:w="1147" w:type="dxa"/>
                  <w:tcBorders>
                    <w:bottom w:val="single" w:sz="4" w:space="0" w:color="auto"/>
                  </w:tcBorders>
                  <w:vAlign w:val="center"/>
                </w:tcPr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850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  <w:vAlign w:val="center"/>
                </w:tcPr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562" w:type="dxa"/>
                  <w:tcBorders>
                    <w:bottom w:val="single" w:sz="4" w:space="0" w:color="auto"/>
                  </w:tcBorders>
                  <w:vAlign w:val="center"/>
                </w:tcPr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D82BEC" w:rsidRPr="00C33B88" w:rsidRDefault="00D82BEC" w:rsidP="00DC6C86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D82BEC" w:rsidRPr="00A1669E" w:rsidTr="00D82BEC">
              <w:tc>
                <w:tcPr>
                  <w:tcW w:w="114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1-14</w:t>
                  </w:r>
                </w:p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524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Mendengar</w:t>
                  </w:r>
                  <w:proofErr w:type="spellEnd"/>
                </w:p>
              </w:tc>
              <w:tc>
                <w:tcPr>
                  <w:tcW w:w="1228" w:type="dxa"/>
                  <w:vMerge w:val="restart"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28</w:t>
                  </w: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Mendengar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memahami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rangkai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kata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ayat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Mendengar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memahami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petikan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524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bertutur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Bertutur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dengan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bahasa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betul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sesuai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Menyampaikan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maklumat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secara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lisan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dalam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pelbagai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situasi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berdasakan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topik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yang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diberi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524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Membaca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3.1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Mengenali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karakter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biasa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diguna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3.2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Membaca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memahami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teks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0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3.3</w:t>
                  </w:r>
                  <w:r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Membaca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dengan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suara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jelas</w:t>
                  </w:r>
                  <w:proofErr w:type="spellEnd"/>
                  <w:r w:rsidRPr="00A1669E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524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Kemahiran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4.1</w:t>
                  </w: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Menulis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karakter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dengan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tepat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kemas</w:t>
                  </w:r>
                  <w:proofErr w:type="spellEnd"/>
                  <w:r w:rsidRPr="00A166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D82BEC" w:rsidRPr="00A1669E" w:rsidTr="00D82BEC">
              <w:tc>
                <w:tcPr>
                  <w:tcW w:w="114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</w:tcBorders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228" w:type="dxa"/>
                  <w:vMerge/>
                  <w:vAlign w:val="center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62" w:type="dxa"/>
                </w:tcPr>
                <w:p w:rsidR="00D82BEC" w:rsidRPr="00A1669E" w:rsidRDefault="00D82BEC" w:rsidP="00D82BEC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A1669E" w:rsidRDefault="00A1669E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A1669E" w:rsidRDefault="00A1669E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A1669E" w:rsidRDefault="00A1669E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D82BEC" w:rsidRDefault="00D82BEC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D82BEC" w:rsidRDefault="00D82BEC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A94E53" w:rsidRDefault="00A94E53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044790" w:rsidRDefault="00044790" w:rsidP="00A94E53">
            <w:pPr>
              <w:jc w:val="left"/>
              <w:rPr>
                <w:b/>
                <w:bCs/>
                <w:sz w:val="20"/>
                <w:szCs w:val="20"/>
              </w:rPr>
            </w:pPr>
          </w:p>
          <w:p w:rsidR="00A94E53" w:rsidRDefault="00A94E53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D82BEC" w:rsidRDefault="00D82BEC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D82BEC" w:rsidRDefault="00D82BEC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D82BEC" w:rsidRPr="009D755A" w:rsidRDefault="00D82BEC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144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3947E8" w:rsidRPr="00A94E53" w:rsidTr="003972C7">
              <w:tc>
                <w:tcPr>
                  <w:tcW w:w="499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3947E8" w:rsidRPr="00A94E53" w:rsidRDefault="003947E8" w:rsidP="00774595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proofErr w:type="spellStart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="00774595"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 </w:t>
                  </w: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(</w:t>
                  </w:r>
                  <w:r w:rsidRPr="00A94E53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3947E8" w:rsidRPr="00A94E53" w:rsidRDefault="003947E8" w:rsidP="00774595">
                  <w:pPr>
                    <w:spacing w:before="60" w:after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60</w:t>
                  </w:r>
                  <w:r w:rsidR="00B0743C"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="00774595"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A94E53" w:rsidRPr="00A94E53" w:rsidTr="00A94E53">
              <w:trPr>
                <w:trHeight w:val="288"/>
              </w:trPr>
              <w:tc>
                <w:tcPr>
                  <w:tcW w:w="499" w:type="dxa"/>
                  <w:shd w:val="clear" w:color="auto" w:fill="auto"/>
                </w:tcPr>
                <w:p w:rsidR="00A94E53" w:rsidRPr="00A94E53" w:rsidRDefault="00A94E53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  <w:vAlign w:val="center"/>
                </w:tcPr>
                <w:p w:rsidR="00A94E53" w:rsidRPr="005F7083" w:rsidRDefault="005F7083" w:rsidP="005F7083">
                  <w:pPr>
                    <w:pStyle w:val="ListParagraph"/>
                    <w:numPr>
                      <w:ilvl w:val="0"/>
                      <w:numId w:val="10"/>
                    </w:numPr>
                    <w:spacing w:after="200" w:line="276" w:lineRule="auto"/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5F708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Folio </w:t>
                  </w:r>
                  <w:proofErr w:type="spellStart"/>
                  <w:r w:rsidRPr="005F7083">
                    <w:rPr>
                      <w:rFonts w:asciiTheme="majorHAnsi" w:hAnsiTheme="majorHAnsi" w:cs="Tahoma"/>
                      <w:sz w:val="20"/>
                      <w:szCs w:val="20"/>
                    </w:rPr>
                    <w:t>Kamus</w:t>
                  </w:r>
                  <w:proofErr w:type="spellEnd"/>
                  <w:r w:rsidRPr="005F708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F7083">
                    <w:rPr>
                      <w:rFonts w:asciiTheme="majorHAnsi" w:hAnsiTheme="majorHAnsi" w:cs="Tahoma"/>
                      <w:sz w:val="20"/>
                      <w:szCs w:val="20"/>
                    </w:rPr>
                    <w:t>Bergambar</w:t>
                  </w:r>
                  <w:proofErr w:type="spellEnd"/>
                  <w:r w:rsidRPr="005F708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A94E53" w:rsidRPr="00A94E53" w:rsidRDefault="00A94E53" w:rsidP="00A94E53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</w:tcPr>
                <w:p w:rsidR="00A94E53" w:rsidRPr="00A94E53" w:rsidRDefault="00A94E53" w:rsidP="00A94E53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A94E53" w:rsidRPr="00A94E53" w:rsidTr="00A94E53">
              <w:trPr>
                <w:trHeight w:val="288"/>
              </w:trPr>
              <w:tc>
                <w:tcPr>
                  <w:tcW w:w="499" w:type="dxa"/>
                  <w:shd w:val="clear" w:color="auto" w:fill="auto"/>
                </w:tcPr>
                <w:p w:rsidR="00A94E53" w:rsidRPr="00A94E53" w:rsidRDefault="00A94E53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  <w:vAlign w:val="center"/>
                </w:tcPr>
                <w:p w:rsidR="00A94E53" w:rsidRPr="00A94E53" w:rsidRDefault="005F7083" w:rsidP="00A94E53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Theme="majorHAnsi" w:hAnsiTheme="majorHAnsi" w:cs="Tahoma"/>
                      <w:sz w:val="20"/>
                      <w:szCs w:val="20"/>
                    </w:rPr>
                    <w:t>Tugasan</w:t>
                  </w:r>
                  <w:proofErr w:type="spellEnd"/>
                  <w:r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Resume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A94E53" w:rsidRPr="00A94E53" w:rsidRDefault="00A94E53" w:rsidP="00A94E53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</w:tcPr>
                <w:p w:rsidR="00A94E53" w:rsidRPr="00A94E53" w:rsidRDefault="00A94E53" w:rsidP="00A94E53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A94E53" w:rsidRPr="00A94E53" w:rsidTr="00A94E53">
              <w:trPr>
                <w:trHeight w:val="288"/>
              </w:trPr>
              <w:tc>
                <w:tcPr>
                  <w:tcW w:w="499" w:type="dxa"/>
                  <w:shd w:val="clear" w:color="auto" w:fill="auto"/>
                </w:tcPr>
                <w:p w:rsidR="00A94E53" w:rsidRPr="00A94E53" w:rsidRDefault="00A94E53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  <w:vAlign w:val="center"/>
                </w:tcPr>
                <w:p w:rsidR="00A94E53" w:rsidRPr="00A94E53" w:rsidRDefault="00A94E53" w:rsidP="00A94E53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</w:p>
              </w:tc>
              <w:tc>
                <w:tcPr>
                  <w:tcW w:w="452" w:type="dxa"/>
                  <w:shd w:val="clear" w:color="auto" w:fill="auto"/>
                </w:tcPr>
                <w:p w:rsidR="00A94E53" w:rsidRPr="00A94E53" w:rsidRDefault="00A94E53" w:rsidP="00A94E53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</w:tcPr>
                <w:p w:rsidR="00A94E53" w:rsidRPr="00A94E53" w:rsidRDefault="00A94E53" w:rsidP="00A94E53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A94E53" w:rsidRPr="00A94E53" w:rsidTr="00A94E53">
              <w:trPr>
                <w:trHeight w:val="288"/>
              </w:trPr>
              <w:tc>
                <w:tcPr>
                  <w:tcW w:w="499" w:type="dxa"/>
                  <w:shd w:val="clear" w:color="auto" w:fill="auto"/>
                </w:tcPr>
                <w:p w:rsidR="00A94E53" w:rsidRPr="00A94E53" w:rsidRDefault="00A94E53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  <w:vAlign w:val="center"/>
                </w:tcPr>
                <w:p w:rsidR="00A94E53" w:rsidRPr="00A94E53" w:rsidRDefault="00A94E53" w:rsidP="00A94E53">
                  <w:pPr>
                    <w:pStyle w:val="ListParagraph"/>
                    <w:numPr>
                      <w:ilvl w:val="0"/>
                      <w:numId w:val="10"/>
                    </w:numPr>
                    <w:ind w:left="401" w:hanging="41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Projek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Hasilkan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sebuah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lagu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bahasa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Cina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mengikut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tajuk-tajuk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di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>modul</w:t>
                  </w:r>
                  <w:proofErr w:type="spellEnd"/>
                  <w:r w:rsidRPr="00A94E5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A94E53" w:rsidRPr="00A94E53" w:rsidRDefault="00A94E53" w:rsidP="00A94E53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</w:tcPr>
                <w:p w:rsidR="00A94E53" w:rsidRPr="00A94E53" w:rsidRDefault="00A94E53" w:rsidP="00A94E53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3947E8" w:rsidRPr="00A94E53" w:rsidTr="003972C7">
              <w:tc>
                <w:tcPr>
                  <w:tcW w:w="499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3947E8" w:rsidRDefault="00A94E53" w:rsidP="00A94E5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Peperiksaan</w:t>
                  </w:r>
                  <w:proofErr w:type="spellEnd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Akhir</w:t>
                  </w:r>
                  <w:proofErr w:type="spellEnd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A94E53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Final Examination</w:t>
                  </w: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A94E53" w:rsidRPr="00A94E53" w:rsidRDefault="00A94E53" w:rsidP="00A94E53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  <w:szCs w:val="20"/>
                    </w:rPr>
                    <w:t>Bertulis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sz w:val="20"/>
                      <w:szCs w:val="20"/>
                    </w:rPr>
                    <w:t>Lisan</w:t>
                  </w:r>
                  <w:proofErr w:type="spellEnd"/>
                </w:p>
              </w:tc>
              <w:tc>
                <w:tcPr>
                  <w:tcW w:w="452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3947E8" w:rsidRPr="00A94E53" w:rsidRDefault="00A94E53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40</w:t>
                  </w:r>
                  <w:r w:rsidR="003947E8" w:rsidRPr="00A94E53">
                    <w:rPr>
                      <w:rFonts w:asciiTheme="majorHAnsi" w:hAnsiTheme="majorHAnsi"/>
                      <w:sz w:val="20"/>
                      <w:szCs w:val="20"/>
                    </w:rPr>
                    <w:t>%</w:t>
                  </w:r>
                </w:p>
              </w:tc>
            </w:tr>
            <w:tr w:rsidR="003947E8" w:rsidRPr="00A94E53" w:rsidTr="003972C7">
              <w:tc>
                <w:tcPr>
                  <w:tcW w:w="499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3947E8" w:rsidRPr="00A94E53" w:rsidRDefault="003947E8" w:rsidP="00774595">
                  <w:pPr>
                    <w:spacing w:before="60" w:after="60"/>
                    <w:jc w:val="righ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 xml:space="preserve"> (</w:t>
                  </w:r>
                  <w:r w:rsidRPr="00A94E53"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  <w:t>Total</w:t>
                  </w: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3947E8" w:rsidRPr="00A94E53" w:rsidRDefault="003947E8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100</w:t>
                  </w:r>
                  <w:r w:rsidR="00B0743C" w:rsidRPr="00A94E53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 xml:space="preserve"> </w:t>
                  </w:r>
                  <w:r w:rsidRPr="00A94E53">
                    <w:rPr>
                      <w:rFonts w:asciiTheme="majorHAnsi" w:hAnsiTheme="majorHAnsi"/>
                      <w:sz w:val="20"/>
                      <w:szCs w:val="20"/>
                    </w:rPr>
                    <w:t>%</w:t>
                  </w:r>
                </w:p>
              </w:tc>
            </w:tr>
            <w:tr w:rsidR="008919DE" w:rsidRPr="00A94E53" w:rsidTr="003972C7">
              <w:tc>
                <w:tcPr>
                  <w:tcW w:w="499" w:type="dxa"/>
                  <w:shd w:val="clear" w:color="auto" w:fill="auto"/>
                </w:tcPr>
                <w:p w:rsidR="008919DE" w:rsidRPr="00A94E53" w:rsidRDefault="008919DE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8919DE" w:rsidRPr="00A94E53" w:rsidRDefault="008919DE" w:rsidP="00774595">
                  <w:pPr>
                    <w:spacing w:before="60" w:after="60"/>
                    <w:jc w:val="righ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2" w:type="dxa"/>
                  <w:shd w:val="clear" w:color="auto" w:fill="auto"/>
                </w:tcPr>
                <w:p w:rsidR="008919DE" w:rsidRPr="00A94E53" w:rsidRDefault="008919DE" w:rsidP="00900959">
                  <w:pPr>
                    <w:spacing w:before="60" w:after="60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</w:tcPr>
                <w:p w:rsidR="008919DE" w:rsidRPr="00A94E53" w:rsidRDefault="008919DE" w:rsidP="00900959">
                  <w:pPr>
                    <w:spacing w:before="60" w:after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D82BEC" w:rsidRPr="00D82BEC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BA32B0">
              <w:rPr>
                <w:rFonts w:ascii="Arial" w:hAnsi="Arial" w:cs="Arial"/>
                <w:lang w:val="en-CA"/>
              </w:rPr>
              <w:t>1.</w:t>
            </w:r>
            <w:r w:rsidRPr="00BA32B0">
              <w:rPr>
                <w:rFonts w:ascii="Arial" w:hAnsi="Arial" w:cs="Arial"/>
                <w:lang w:val="en-CA"/>
              </w:rPr>
              <w:tab/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KamusBergambarGenerasi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Baharu KSSR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EdisiKelapan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Othman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Puteh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Oxford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Fajar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Sdn.Bhd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.</w:t>
            </w:r>
          </w:p>
          <w:p w:rsidR="00D82BEC" w:rsidRPr="00D82BEC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2.</w:t>
            </w: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ab/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KamusBergambarCina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Institut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Bahan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Kurikulum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Penerbit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Rakyat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Didik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.</w:t>
            </w:r>
          </w:p>
          <w:p w:rsidR="00D82BEC" w:rsidRPr="00D82BEC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3.</w:t>
            </w: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ab/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Bahasa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Mandarin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Perbualan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Soh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Wei Nee,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Xueer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Publisher.</w:t>
            </w:r>
          </w:p>
          <w:p w:rsidR="00D82BEC" w:rsidRPr="00D82BEC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4.</w:t>
            </w: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ab/>
            </w:r>
            <w:proofErr w:type="spellStart"/>
            <w:proofErr w:type="gram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Huayu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(</w:t>
            </w:r>
            <w:proofErr w:type="gram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1)</w:t>
            </w:r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Soh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Wei Nee,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Xueer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Publisher.</w:t>
            </w:r>
          </w:p>
          <w:p w:rsidR="001D61D0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rFonts w:asciiTheme="majorHAnsi" w:hAnsiTheme="majorHAnsi" w:cs="Arial"/>
                <w:sz w:val="20"/>
                <w:szCs w:val="20"/>
                <w:lang w:val="en-CA"/>
              </w:rPr>
            </w:pP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5.</w:t>
            </w:r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ab/>
            </w:r>
            <w:proofErr w:type="spellStart"/>
            <w:proofErr w:type="gram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Huayu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(</w:t>
            </w:r>
            <w:proofErr w:type="gram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2)</w:t>
            </w:r>
            <w:r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Soh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Wei Nee, </w:t>
            </w:r>
            <w:proofErr w:type="spellStart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>Xueer</w:t>
            </w:r>
            <w:proofErr w:type="spellEnd"/>
            <w:r w:rsidRPr="00D82BEC">
              <w:rPr>
                <w:rFonts w:asciiTheme="majorHAnsi" w:hAnsiTheme="majorHAnsi" w:cs="Arial"/>
                <w:sz w:val="20"/>
                <w:szCs w:val="20"/>
                <w:lang w:val="en-CA"/>
              </w:rPr>
              <w:t xml:space="preserve"> Publisher.</w:t>
            </w:r>
          </w:p>
          <w:p w:rsidR="00D82BEC" w:rsidRPr="001D61D0" w:rsidRDefault="00D82BEC" w:rsidP="00D82BEC">
            <w:pPr>
              <w:tabs>
                <w:tab w:val="left" w:pos="702"/>
              </w:tabs>
              <w:ind w:left="702" w:hanging="540"/>
              <w:jc w:val="both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F13" w:rsidRDefault="00116F13" w:rsidP="006871BF">
      <w:r>
        <w:separator/>
      </w:r>
    </w:p>
  </w:endnote>
  <w:endnote w:type="continuationSeparator" w:id="0">
    <w:p w:rsidR="00116F13" w:rsidRDefault="00116F13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47"/>
      <w:gridCol w:w="39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2B4221" w:rsidP="002B4221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WBC802</w:t>
          </w:r>
          <w:r w:rsidR="00A94E53"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480C15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561821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F13" w:rsidRDefault="00116F13" w:rsidP="006871BF">
      <w:r>
        <w:separator/>
      </w:r>
    </w:p>
  </w:footnote>
  <w:footnote w:type="continuationSeparator" w:id="0">
    <w:p w:rsidR="00116F13" w:rsidRDefault="00116F13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A51C69"/>
    <w:multiLevelType w:val="hybridMultilevel"/>
    <w:tmpl w:val="24820FDC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11C76"/>
    <w:multiLevelType w:val="hybridMultilevel"/>
    <w:tmpl w:val="BBB0F8CC"/>
    <w:lvl w:ilvl="0" w:tplc="128C057C">
      <w:start w:val="1"/>
      <w:numFmt w:val="decimal"/>
      <w:lvlText w:val="%1."/>
      <w:lvlJc w:val="left"/>
      <w:pPr>
        <w:ind w:left="295" w:hanging="360"/>
      </w:pPr>
      <w:rPr>
        <w:rFonts w:hint="default"/>
        <w:b/>
        <w:sz w:val="18"/>
      </w:rPr>
    </w:lvl>
    <w:lvl w:ilvl="1" w:tplc="44090019" w:tentative="1">
      <w:start w:val="1"/>
      <w:numFmt w:val="lowerLetter"/>
      <w:lvlText w:val="%2."/>
      <w:lvlJc w:val="left"/>
      <w:pPr>
        <w:ind w:left="1015" w:hanging="360"/>
      </w:pPr>
    </w:lvl>
    <w:lvl w:ilvl="2" w:tplc="4409001B" w:tentative="1">
      <w:start w:val="1"/>
      <w:numFmt w:val="lowerRoman"/>
      <w:lvlText w:val="%3."/>
      <w:lvlJc w:val="right"/>
      <w:pPr>
        <w:ind w:left="1735" w:hanging="180"/>
      </w:pPr>
    </w:lvl>
    <w:lvl w:ilvl="3" w:tplc="4409000F" w:tentative="1">
      <w:start w:val="1"/>
      <w:numFmt w:val="decimal"/>
      <w:lvlText w:val="%4."/>
      <w:lvlJc w:val="left"/>
      <w:pPr>
        <w:ind w:left="2455" w:hanging="360"/>
      </w:pPr>
    </w:lvl>
    <w:lvl w:ilvl="4" w:tplc="44090019" w:tentative="1">
      <w:start w:val="1"/>
      <w:numFmt w:val="lowerLetter"/>
      <w:lvlText w:val="%5."/>
      <w:lvlJc w:val="left"/>
      <w:pPr>
        <w:ind w:left="3175" w:hanging="360"/>
      </w:pPr>
    </w:lvl>
    <w:lvl w:ilvl="5" w:tplc="4409001B" w:tentative="1">
      <w:start w:val="1"/>
      <w:numFmt w:val="lowerRoman"/>
      <w:lvlText w:val="%6."/>
      <w:lvlJc w:val="right"/>
      <w:pPr>
        <w:ind w:left="3895" w:hanging="180"/>
      </w:pPr>
    </w:lvl>
    <w:lvl w:ilvl="6" w:tplc="4409000F" w:tentative="1">
      <w:start w:val="1"/>
      <w:numFmt w:val="decimal"/>
      <w:lvlText w:val="%7."/>
      <w:lvlJc w:val="left"/>
      <w:pPr>
        <w:ind w:left="4615" w:hanging="360"/>
      </w:pPr>
    </w:lvl>
    <w:lvl w:ilvl="7" w:tplc="44090019" w:tentative="1">
      <w:start w:val="1"/>
      <w:numFmt w:val="lowerLetter"/>
      <w:lvlText w:val="%8."/>
      <w:lvlJc w:val="left"/>
      <w:pPr>
        <w:ind w:left="5335" w:hanging="360"/>
      </w:pPr>
    </w:lvl>
    <w:lvl w:ilvl="8" w:tplc="44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6580C"/>
    <w:rsid w:val="00095D68"/>
    <w:rsid w:val="000A35D8"/>
    <w:rsid w:val="000C1717"/>
    <w:rsid w:val="000C1F4B"/>
    <w:rsid w:val="000C6BFE"/>
    <w:rsid w:val="0010746C"/>
    <w:rsid w:val="00116F13"/>
    <w:rsid w:val="001818A9"/>
    <w:rsid w:val="00190B3A"/>
    <w:rsid w:val="001B2AD2"/>
    <w:rsid w:val="001C17DD"/>
    <w:rsid w:val="001D61D0"/>
    <w:rsid w:val="001F73EF"/>
    <w:rsid w:val="00206E8C"/>
    <w:rsid w:val="002110E8"/>
    <w:rsid w:val="002131BD"/>
    <w:rsid w:val="002B4221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415FB8"/>
    <w:rsid w:val="00417CF9"/>
    <w:rsid w:val="00432ED9"/>
    <w:rsid w:val="00473BE7"/>
    <w:rsid w:val="00480C15"/>
    <w:rsid w:val="00497404"/>
    <w:rsid w:val="004C5718"/>
    <w:rsid w:val="004D16D5"/>
    <w:rsid w:val="00504EF1"/>
    <w:rsid w:val="00506F5C"/>
    <w:rsid w:val="00561821"/>
    <w:rsid w:val="005652F8"/>
    <w:rsid w:val="00566019"/>
    <w:rsid w:val="005A7BB7"/>
    <w:rsid w:val="005B4785"/>
    <w:rsid w:val="005D25D2"/>
    <w:rsid w:val="005D4F23"/>
    <w:rsid w:val="005F7083"/>
    <w:rsid w:val="00624A73"/>
    <w:rsid w:val="00636431"/>
    <w:rsid w:val="00683ADC"/>
    <w:rsid w:val="0068404C"/>
    <w:rsid w:val="006843F7"/>
    <w:rsid w:val="006871BF"/>
    <w:rsid w:val="00696FFB"/>
    <w:rsid w:val="00697803"/>
    <w:rsid w:val="006A28D6"/>
    <w:rsid w:val="006B0648"/>
    <w:rsid w:val="006B295B"/>
    <w:rsid w:val="006D3952"/>
    <w:rsid w:val="006F711F"/>
    <w:rsid w:val="0070488B"/>
    <w:rsid w:val="00727BAB"/>
    <w:rsid w:val="0073654E"/>
    <w:rsid w:val="0076705F"/>
    <w:rsid w:val="00774595"/>
    <w:rsid w:val="0077562D"/>
    <w:rsid w:val="0079148B"/>
    <w:rsid w:val="007C161B"/>
    <w:rsid w:val="007C4402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19D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D0DE8"/>
    <w:rsid w:val="009D668C"/>
    <w:rsid w:val="009D755A"/>
    <w:rsid w:val="009E28F1"/>
    <w:rsid w:val="009F7D82"/>
    <w:rsid w:val="00A02973"/>
    <w:rsid w:val="00A1669E"/>
    <w:rsid w:val="00A30F7A"/>
    <w:rsid w:val="00A60F8F"/>
    <w:rsid w:val="00A613CF"/>
    <w:rsid w:val="00A8288D"/>
    <w:rsid w:val="00A86920"/>
    <w:rsid w:val="00A94E53"/>
    <w:rsid w:val="00AB188B"/>
    <w:rsid w:val="00B0743C"/>
    <w:rsid w:val="00B125B9"/>
    <w:rsid w:val="00B310D0"/>
    <w:rsid w:val="00B35FE9"/>
    <w:rsid w:val="00B44718"/>
    <w:rsid w:val="00B55412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34B0"/>
    <w:rsid w:val="00C52A10"/>
    <w:rsid w:val="00C706F3"/>
    <w:rsid w:val="00C81BEB"/>
    <w:rsid w:val="00C81D35"/>
    <w:rsid w:val="00C81DE9"/>
    <w:rsid w:val="00C965DD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2BEC"/>
    <w:rsid w:val="00D84739"/>
    <w:rsid w:val="00DC7E5F"/>
    <w:rsid w:val="00DF5CE0"/>
    <w:rsid w:val="00E025B4"/>
    <w:rsid w:val="00E074C0"/>
    <w:rsid w:val="00E12A3B"/>
    <w:rsid w:val="00E2493A"/>
    <w:rsid w:val="00E25B14"/>
    <w:rsid w:val="00E70A7A"/>
    <w:rsid w:val="00E8446C"/>
    <w:rsid w:val="00EF192F"/>
    <w:rsid w:val="00EF370F"/>
    <w:rsid w:val="00F12D91"/>
    <w:rsid w:val="00F13DB4"/>
    <w:rsid w:val="00F166BF"/>
    <w:rsid w:val="00F21461"/>
    <w:rsid w:val="00F26E25"/>
    <w:rsid w:val="00F33E58"/>
    <w:rsid w:val="00F573D9"/>
    <w:rsid w:val="00F62B7B"/>
    <w:rsid w:val="00F87A32"/>
    <w:rsid w:val="00F974A9"/>
    <w:rsid w:val="00FA222B"/>
    <w:rsid w:val="00FD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AB070-7F46-4D02-8F3C-E014D885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2015-11-02T05:07:00Z</dcterms:created>
  <dcterms:modified xsi:type="dcterms:W3CDTF">2015-11-23T01:14:00Z</dcterms:modified>
</cp:coreProperties>
</file>