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bookmarkStart w:id="0" w:name="_GoBack"/>
            <w:bookmarkEnd w:id="0"/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B33E35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B33E35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B33E35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B33E35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B33E35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B33E35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B33E35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B33E35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B33E35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B33E35" w:rsidRDefault="00566019" w:rsidP="002D2AF3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33E35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2D2AF3" w:rsidRPr="00B33E35">
                    <w:rPr>
                      <w:b/>
                      <w:sz w:val="20"/>
                      <w:szCs w:val="20"/>
                      <w:lang w:val="fr-FR"/>
                    </w:rPr>
                    <w:t>2</w:t>
                  </w:r>
                  <w:r w:rsidR="001818A9" w:rsidRPr="00B33E35">
                    <w:rPr>
                      <w:b/>
                      <w:sz w:val="20"/>
                      <w:szCs w:val="20"/>
                      <w:lang w:val="fr-FR"/>
                    </w:rPr>
                    <w:t xml:space="preserve">/ </w:t>
                  </w:r>
                  <w:r w:rsidR="007863E9" w:rsidRPr="00B33E35">
                    <w:rPr>
                      <w:b/>
                      <w:sz w:val="20"/>
                      <w:szCs w:val="20"/>
                      <w:lang w:val="fr-FR"/>
                    </w:rPr>
                    <w:t>J</w:t>
                  </w:r>
                  <w:r w:rsidR="002D2AF3" w:rsidRPr="00B33E35">
                    <w:rPr>
                      <w:b/>
                      <w:sz w:val="20"/>
                      <w:szCs w:val="20"/>
                      <w:lang w:val="fr-FR"/>
                    </w:rPr>
                    <w:t>U</w:t>
                  </w:r>
                  <w:r w:rsidR="007863E9" w:rsidRPr="00B33E35">
                    <w:rPr>
                      <w:b/>
                      <w:sz w:val="20"/>
                      <w:szCs w:val="20"/>
                      <w:lang w:val="fr-FR"/>
                    </w:rPr>
                    <w:t>N 2016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B33E35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B33E35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B33E35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B33E35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B33E35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B33E35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B33E35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B33E35" w:rsidRDefault="00044790" w:rsidP="002D2AF3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b/>
                      <w:sz w:val="20"/>
                      <w:szCs w:val="20"/>
                    </w:rPr>
                    <w:t>W</w:t>
                  </w:r>
                  <w:r w:rsidR="007863E9" w:rsidRPr="00B33E35">
                    <w:rPr>
                      <w:rFonts w:cs="Arial"/>
                      <w:b/>
                      <w:sz w:val="20"/>
                      <w:szCs w:val="20"/>
                    </w:rPr>
                    <w:t>S</w:t>
                  </w:r>
                  <w:r w:rsidRPr="00B33E35">
                    <w:rPr>
                      <w:rFonts w:cs="Arial"/>
                      <w:b/>
                      <w:sz w:val="20"/>
                      <w:szCs w:val="20"/>
                    </w:rPr>
                    <w:t>A</w:t>
                  </w:r>
                  <w:r w:rsidR="002D2AF3" w:rsidRPr="00B33E35">
                    <w:rPr>
                      <w:rFonts w:cs="Arial"/>
                      <w:b/>
                      <w:sz w:val="20"/>
                      <w:szCs w:val="20"/>
                    </w:rPr>
                    <w:t>6</w:t>
                  </w:r>
                  <w:r w:rsidRPr="00B33E35">
                    <w:rPr>
                      <w:rFonts w:cs="Arial"/>
                      <w:b/>
                      <w:sz w:val="20"/>
                      <w:szCs w:val="20"/>
                    </w:rPr>
                    <w:t>0</w:t>
                  </w:r>
                  <w:r w:rsidR="00A622FF">
                    <w:rPr>
                      <w:rFonts w:cs="Arial"/>
                      <w:b/>
                      <w:sz w:val="20"/>
                      <w:szCs w:val="20"/>
                    </w:rPr>
                    <w:t>3</w:t>
                  </w:r>
                  <w:r w:rsidR="007863E9" w:rsidRPr="00B33E35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B33E35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B33E35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B33E35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33E35">
                    <w:rPr>
                      <w:sz w:val="20"/>
                      <w:szCs w:val="20"/>
                    </w:rPr>
                    <w:t>(</w:t>
                  </w:r>
                  <w:r w:rsidRPr="00B33E35">
                    <w:rPr>
                      <w:i/>
                      <w:sz w:val="20"/>
                      <w:szCs w:val="20"/>
                    </w:rPr>
                    <w:t>NAME OF</w:t>
                  </w:r>
                  <w:r w:rsidRPr="00B33E35">
                    <w:rPr>
                      <w:sz w:val="20"/>
                      <w:szCs w:val="20"/>
                    </w:rPr>
                    <w:t xml:space="preserve"> </w:t>
                  </w:r>
                  <w:r w:rsidRPr="00B33E35">
                    <w:rPr>
                      <w:i/>
                      <w:sz w:val="20"/>
                      <w:szCs w:val="20"/>
                    </w:rPr>
                    <w:t>COURSE</w:t>
                  </w:r>
                  <w:r w:rsidRPr="00B33E3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B33E35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B33E35" w:rsidRDefault="00B33E35" w:rsidP="0090095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B33E35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SAINS AM</w:t>
                  </w:r>
                  <w:r w:rsidR="00A622FF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B33E35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B33E35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B33E35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B33E35">
                    <w:rPr>
                      <w:bCs/>
                      <w:sz w:val="20"/>
                      <w:szCs w:val="20"/>
                    </w:rPr>
                    <w:t>(</w:t>
                  </w:r>
                  <w:r w:rsidRPr="00B33E35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B33E35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B33E35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B33E35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B33E35" w:rsidRPr="009D755A" w:rsidTr="00B33E35">
              <w:tc>
                <w:tcPr>
                  <w:tcW w:w="2520" w:type="dxa"/>
                  <w:shd w:val="clear" w:color="auto" w:fill="auto"/>
                </w:tcPr>
                <w:p w:rsidR="00B33E35" w:rsidRPr="009D755A" w:rsidRDefault="00B33E35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B33E35" w:rsidRPr="009D755A" w:rsidRDefault="00B33E35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33E35" w:rsidRPr="009D755A" w:rsidRDefault="00B33E35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B33E35" w:rsidRPr="009D755A" w:rsidRDefault="00B33E35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B33E35" w:rsidRPr="009D755A" w:rsidRDefault="00B33E35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B33E35" w:rsidRPr="009D755A" w:rsidRDefault="00B33E35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B33E35" w:rsidRPr="009D755A" w:rsidTr="00B33E35">
              <w:tc>
                <w:tcPr>
                  <w:tcW w:w="2520" w:type="dxa"/>
                  <w:vMerge/>
                  <w:shd w:val="clear" w:color="auto" w:fill="auto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B33E35" w:rsidRPr="009D755A" w:rsidRDefault="00B33E35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B33E35" w:rsidRDefault="00B33E35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33E35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33E35" w:rsidRPr="009D755A" w:rsidTr="00B33E35">
              <w:tc>
                <w:tcPr>
                  <w:tcW w:w="7020" w:type="dxa"/>
                  <w:gridSpan w:val="2"/>
                  <w:shd w:val="clear" w:color="auto" w:fill="auto"/>
                </w:tcPr>
                <w:p w:rsidR="00B33E35" w:rsidRPr="009D755A" w:rsidRDefault="00B33E35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B33E35" w:rsidRPr="009D755A" w:rsidRDefault="00B33E35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9D755A" w:rsidRDefault="00B33E35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B33E35" w:rsidRPr="009D755A" w:rsidTr="00B33E35">
              <w:tc>
                <w:tcPr>
                  <w:tcW w:w="7020" w:type="dxa"/>
                  <w:gridSpan w:val="2"/>
                  <w:shd w:val="clear" w:color="auto" w:fill="auto"/>
                </w:tcPr>
                <w:p w:rsidR="00B33E35" w:rsidRPr="009D755A" w:rsidRDefault="00B33E35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B33E35" w:rsidRPr="009D755A" w:rsidRDefault="00B33E35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33E35" w:rsidRPr="009D755A" w:rsidRDefault="00B33E35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C11DF4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WSA5032-</w:t>
                  </w:r>
                  <w:r w:rsidR="00A622FF" w:rsidRPr="00A622FF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A622FF" w:rsidRPr="00A622FF">
                    <w:rPr>
                      <w:sz w:val="20"/>
                      <w:szCs w:val="20"/>
                    </w:rPr>
                    <w:t>Sains</w:t>
                  </w:r>
                  <w:proofErr w:type="spellEnd"/>
                  <w:r w:rsidR="00A622FF" w:rsidRPr="00A622FF">
                    <w:rPr>
                      <w:sz w:val="20"/>
                      <w:szCs w:val="20"/>
                    </w:rPr>
                    <w:t xml:space="preserve"> Am I</w:t>
                  </w: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044790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79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79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(</w:t>
            </w:r>
            <w:r w:rsidRPr="0004479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044790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355179" w:rsidRPr="00355179" w:rsidRDefault="00355179" w:rsidP="00B33E35">
            <w:pPr>
              <w:spacing w:before="120" w:after="120"/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adalah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aplikasi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fakta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tersebut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membuat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keputusan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penyelesaian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masalah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bidang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kehidupan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.</w:t>
            </w:r>
          </w:p>
          <w:p w:rsidR="00855FC8" w:rsidRPr="00044790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SINOPSIS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SYNOPSIS</w:t>
            </w:r>
            <w:r w:rsidRPr="001D61D0">
              <w:rPr>
                <w:sz w:val="20"/>
                <w:szCs w:val="20"/>
              </w:rPr>
              <w:t>):</w:t>
            </w:r>
          </w:p>
          <w:p w:rsidR="00044790" w:rsidRPr="001D61D0" w:rsidRDefault="00044790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1D61D0" w:rsidRPr="00355179" w:rsidRDefault="00355179" w:rsidP="00B33E35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memperolehi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fenomena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semulajadi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mengalakkan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menggunakan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="002D2AF3">
              <w:rPr>
                <w:rFonts w:asciiTheme="majorHAnsi" w:hAnsiTheme="majorHAnsi" w:cs="Arial"/>
                <w:sz w:val="20"/>
                <w:szCs w:val="20"/>
                <w:lang w:val="en-GB"/>
              </w:rPr>
              <w:t>biologi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untuk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menangani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cabaran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dunia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boleh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menyumbang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arah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pembangunan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HASIL PEMBELAJARAN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LEARNING OUTCOMES</w:t>
            </w:r>
            <w:r w:rsidRPr="001D61D0">
              <w:rPr>
                <w:sz w:val="20"/>
                <w:szCs w:val="20"/>
              </w:rPr>
              <w:t>):</w:t>
            </w:r>
          </w:p>
          <w:p w:rsidR="007C161B" w:rsidRPr="001D61D0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Default="009F7D82" w:rsidP="001D61D0">
            <w:pPr>
              <w:ind w:left="144"/>
              <w:jc w:val="both"/>
              <w:rPr>
                <w:sz w:val="20"/>
                <w:szCs w:val="20"/>
              </w:rPr>
            </w:pPr>
            <w:r w:rsidRPr="001D61D0">
              <w:rPr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855FC8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044790" w:rsidRPr="002D2AF3" w:rsidRDefault="002D2AF3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Merumuskan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konsep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prinsip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biologi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kimia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.</w:t>
                  </w:r>
                  <w:proofErr w:type="gram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(C2, PLO1)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790" w:rsidRPr="002D2AF3" w:rsidRDefault="002D2AF3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Menunjukkan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hubungkait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prinsip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biologi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kimia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aplikasi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(P2,PLO3)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790" w:rsidRPr="002D2AF3" w:rsidRDefault="002D2AF3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Mengamalkan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sumbangan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biologi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,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fizik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kimia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dalam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aplikasi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kehidupan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>seharian</w:t>
                  </w:r>
                  <w:proofErr w:type="spellEnd"/>
                  <w:r w:rsidRPr="002D2AF3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(A2,PLO6)</w:t>
                  </w:r>
                </w:p>
              </w:tc>
            </w:tr>
          </w:tbl>
          <w:p w:rsidR="009F7D82" w:rsidRPr="001D61D0" w:rsidRDefault="009F7D82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Pr="001D61D0" w:rsidRDefault="009F7D82" w:rsidP="00855FC8">
            <w:pPr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W w:w="9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85"/>
              <w:gridCol w:w="587"/>
              <w:gridCol w:w="616"/>
              <w:gridCol w:w="4553"/>
              <w:gridCol w:w="1081"/>
              <w:gridCol w:w="1556"/>
            </w:tblGrid>
            <w:tr w:rsidR="002D2AF3" w:rsidRPr="007A48B8" w:rsidTr="000B3033">
              <w:tc>
                <w:tcPr>
                  <w:tcW w:w="985" w:type="dxa"/>
                  <w:tcBorders>
                    <w:bottom w:val="single" w:sz="4" w:space="0" w:color="auto"/>
                  </w:tcBorders>
                </w:tcPr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MINGGU</w:t>
                  </w:r>
                </w:p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756" w:type="dxa"/>
                  <w:gridSpan w:val="3"/>
                  <w:tcBorders>
                    <w:bottom w:val="single" w:sz="4" w:space="0" w:color="auto"/>
                  </w:tcBorders>
                </w:tcPr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81" w:type="dxa"/>
                  <w:tcBorders>
                    <w:bottom w:val="single" w:sz="4" w:space="0" w:color="auto"/>
                  </w:tcBorders>
                  <w:vAlign w:val="center"/>
                </w:tcPr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556" w:type="dxa"/>
                  <w:tcBorders>
                    <w:bottom w:val="single" w:sz="4" w:space="0" w:color="auto"/>
                  </w:tcBorders>
                </w:tcPr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2D2AF3" w:rsidRPr="00C33B88" w:rsidRDefault="002D2AF3" w:rsidP="000B3033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1-6</w:t>
                  </w:r>
                </w:p>
              </w:tc>
              <w:tc>
                <w:tcPr>
                  <w:tcW w:w="587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5169" w:type="dxa"/>
                  <w:gridSpan w:val="2"/>
                  <w:tcBorders>
                    <w:left w:val="nil"/>
                    <w:bottom w:val="nil"/>
                  </w:tcBorders>
                </w:tcPr>
                <w:p w:rsidR="002D2AF3" w:rsidRPr="005619B4" w:rsidRDefault="002D2AF3" w:rsidP="002D2AF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pacing w:val="3"/>
                      <w:sz w:val="20"/>
                      <w:szCs w:val="20"/>
                    </w:rPr>
                    <w:t>K</w:t>
                  </w:r>
                  <w:r w:rsidRPr="005619B4">
                    <w:rPr>
                      <w:rFonts w:asciiTheme="majorHAnsi" w:hAnsiTheme="majorHAnsi" w:cs="Arial"/>
                      <w:spacing w:val="-3"/>
                      <w:sz w:val="20"/>
                      <w:szCs w:val="20"/>
                    </w:rPr>
                    <w:t>O</w:t>
                  </w:r>
                  <w:r w:rsidRPr="005619B4">
                    <w:rPr>
                      <w:rFonts w:asciiTheme="majorHAnsi" w:hAnsiTheme="majorHAnsi" w:cs="Arial"/>
                      <w:spacing w:val="4"/>
                      <w:sz w:val="20"/>
                      <w:szCs w:val="20"/>
                    </w:rPr>
                    <w:t>M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P</w:t>
                  </w:r>
                  <w:r w:rsidRPr="005619B4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O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S</w:t>
                  </w:r>
                  <w:r w:rsidRPr="005619B4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S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pacing w:val="-6"/>
                      <w:sz w:val="20"/>
                      <w:szCs w:val="20"/>
                    </w:rPr>
                    <w:t xml:space="preserve">   </w:t>
                  </w:r>
                  <w:r w:rsidRPr="005619B4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K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 xml:space="preserve">IA 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D</w:t>
                  </w:r>
                  <w:r w:rsidRPr="005619B4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A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L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AM</w:t>
                  </w:r>
                  <w:r w:rsidRPr="005619B4">
                    <w:rPr>
                      <w:rFonts w:asciiTheme="majorHAnsi" w:hAnsiTheme="majorHAnsi" w:cs="Arial"/>
                      <w:spacing w:val="2"/>
                      <w:sz w:val="20"/>
                      <w:szCs w:val="20"/>
                    </w:rPr>
                    <w:t xml:space="preserve"> </w:t>
                  </w:r>
                  <w:r w:rsidRPr="005619B4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SE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L</w:t>
                  </w:r>
                </w:p>
              </w:tc>
              <w:tc>
                <w:tcPr>
                  <w:tcW w:w="1081" w:type="dxa"/>
                  <w:tcBorders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17</w:t>
                  </w:r>
                </w:p>
              </w:tc>
              <w:tc>
                <w:tcPr>
                  <w:tcW w:w="1556" w:type="dxa"/>
                  <w:vMerge w:val="restart"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2D2AF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pacing w:val="3"/>
                      <w:sz w:val="20"/>
                      <w:szCs w:val="20"/>
                    </w:rPr>
                    <w:t>k</w:t>
                  </w:r>
                  <w:r w:rsidRPr="005619B4">
                    <w:rPr>
                      <w:rFonts w:asciiTheme="majorHAnsi" w:hAnsiTheme="majorHAnsi" w:cs="Arial"/>
                      <w:spacing w:val="-3"/>
                      <w:sz w:val="20"/>
                      <w:szCs w:val="20"/>
                    </w:rPr>
                    <w:t>o</w:t>
                  </w:r>
                  <w:r w:rsidRPr="005619B4">
                    <w:rPr>
                      <w:rFonts w:asciiTheme="majorHAnsi" w:hAnsiTheme="majorHAnsi" w:cs="Arial"/>
                      <w:spacing w:val="4"/>
                      <w:sz w:val="20"/>
                      <w:szCs w:val="20"/>
                    </w:rPr>
                    <w:t>m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p</w:t>
                  </w:r>
                  <w:r w:rsidRPr="005619B4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o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s</w:t>
                  </w:r>
                  <w:r w:rsidRPr="005619B4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s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pacing w:val="-6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k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ia</w:t>
                  </w:r>
                  <w:proofErr w:type="spellEnd"/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d</w:t>
                  </w:r>
                  <w:r w:rsidRPr="005619B4">
                    <w:rPr>
                      <w:rFonts w:asciiTheme="majorHAnsi" w:hAnsiTheme="majorHAnsi" w:cs="Arial"/>
                      <w:spacing w:val="-1"/>
                      <w:sz w:val="20"/>
                      <w:szCs w:val="20"/>
                    </w:rPr>
                    <w:t>a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l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am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pacing w:val="2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pacing w:val="1"/>
                      <w:w w:val="102"/>
                      <w:sz w:val="20"/>
                      <w:szCs w:val="20"/>
                    </w:rPr>
                    <w:t>se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l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1.2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2D2AF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pacing w:val="3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pacing w:val="3"/>
                      <w:sz w:val="20"/>
                      <w:szCs w:val="20"/>
                    </w:rPr>
                    <w:t>k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arboh</w:t>
                  </w:r>
                  <w:r w:rsidRPr="005619B4">
                    <w:rPr>
                      <w:rFonts w:asciiTheme="majorHAnsi" w:hAnsiTheme="majorHAnsi" w:cs="Arial"/>
                      <w:spacing w:val="-2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drat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1.3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2D2AF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prote</w:t>
                  </w:r>
                  <w:r w:rsidRPr="005619B4">
                    <w:rPr>
                      <w:rFonts w:asciiTheme="majorHAnsi" w:hAnsiTheme="majorHAnsi" w:cs="Arial"/>
                      <w:spacing w:val="1"/>
                      <w:sz w:val="20"/>
                      <w:szCs w:val="20"/>
                    </w:rPr>
                    <w:t>i</w:t>
                  </w: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1.4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2D2AF3">
                  <w:pPr>
                    <w:pStyle w:val="ListParagraph"/>
                    <w:ind w:left="0"/>
                    <w:jc w:val="left"/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Menganalisis</w:t>
                  </w:r>
                  <w:proofErr w:type="spellEnd"/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 xml:space="preserve"> li</w:t>
                  </w:r>
                  <w:r w:rsidRPr="005619B4">
                    <w:rPr>
                      <w:rFonts w:asciiTheme="majorHAnsi" w:hAnsiTheme="majorHAnsi" w:cs="Arial"/>
                      <w:spacing w:val="2"/>
                      <w:w w:val="102"/>
                      <w:sz w:val="20"/>
                      <w:szCs w:val="20"/>
                    </w:rPr>
                    <w:t>p</w:t>
                  </w:r>
                  <w:r w:rsidRPr="005619B4">
                    <w:rPr>
                      <w:rFonts w:asciiTheme="majorHAnsi" w:hAnsiTheme="majorHAnsi" w:cs="Arial"/>
                      <w:w w:val="102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  <w:tcBorders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6-10</w:t>
                  </w:r>
                </w:p>
              </w:tc>
              <w:tc>
                <w:tcPr>
                  <w:tcW w:w="587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5169" w:type="dxa"/>
                  <w:gridSpan w:val="2"/>
                  <w:tcBorders>
                    <w:left w:val="nil"/>
                    <w:bottom w:val="nil"/>
                  </w:tcBorders>
                </w:tcPr>
                <w:p w:rsidR="002D2AF3" w:rsidRPr="005619B4" w:rsidRDefault="002D2AF3" w:rsidP="000B3033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HABA </w:t>
                  </w:r>
                </w:p>
              </w:tc>
              <w:tc>
                <w:tcPr>
                  <w:tcW w:w="1081" w:type="dxa"/>
                  <w:tcBorders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13 </w:t>
                  </w:r>
                </w:p>
              </w:tc>
              <w:tc>
                <w:tcPr>
                  <w:tcW w:w="1556" w:type="dxa"/>
                  <w:vMerge w:val="restart"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keseimbangan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terma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2D2AF3" w:rsidRPr="005619B4" w:rsidRDefault="002D2AF3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muatan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haba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tentu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  <w:tcBorders>
                    <w:bottom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11-14</w:t>
                  </w:r>
                </w:p>
              </w:tc>
              <w:tc>
                <w:tcPr>
                  <w:tcW w:w="587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5169" w:type="dxa"/>
                  <w:gridSpan w:val="2"/>
                  <w:tcBorders>
                    <w:left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BAHAN BUATAN DALAM INDUSTRI</w:t>
                  </w:r>
                </w:p>
              </w:tc>
              <w:tc>
                <w:tcPr>
                  <w:tcW w:w="1081" w:type="dxa"/>
                  <w:tcBorders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12</w:t>
                  </w:r>
                </w:p>
              </w:tc>
              <w:tc>
                <w:tcPr>
                  <w:tcW w:w="1556" w:type="dxa"/>
                  <w:vMerge w:val="restart"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2D2AF3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polimer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kegunaannya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rPr>
                <w:trHeight w:val="302"/>
              </w:trPr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AF3" w:rsidRPr="005619B4" w:rsidRDefault="002D2AF3" w:rsidP="000B3033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</w:tcBorders>
                </w:tcPr>
                <w:p w:rsidR="002D2AF3" w:rsidRPr="005619B4" w:rsidRDefault="002D2AF3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Mengaplikasikan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kegunaan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kaca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seramik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nil"/>
                  </w:tcBorders>
                </w:tcPr>
                <w:p w:rsidR="002D2AF3" w:rsidRPr="005619B4" w:rsidRDefault="002D2AF3" w:rsidP="000B3033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</w:tcPr>
                <w:p w:rsidR="002D2AF3" w:rsidRPr="005619B4" w:rsidRDefault="002D2AF3" w:rsidP="000B3033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2D2AF3" w:rsidRPr="007A48B8" w:rsidTr="000B3033">
              <w:trPr>
                <w:trHeight w:val="302"/>
              </w:trPr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2D2AF3" w:rsidRPr="005619B4" w:rsidRDefault="002D2AF3" w:rsidP="000B3033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3.3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Menilai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kegunaan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bahan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-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bahan</w:t>
                  </w:r>
                  <w:proofErr w:type="spellEnd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5619B4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komposit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nil"/>
                    <w:bottom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556" w:type="dxa"/>
                  <w:vMerge/>
                  <w:tcBorders>
                    <w:bottom w:val="single" w:sz="4" w:space="0" w:color="auto"/>
                  </w:tcBorders>
                </w:tcPr>
                <w:p w:rsidR="002D2AF3" w:rsidRPr="005619B4" w:rsidRDefault="002D2AF3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2D2AF3" w:rsidRDefault="002D2AF3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2D2AF3" w:rsidRDefault="002D2AF3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Pr="009D755A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36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601121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a. </w:t>
                  </w:r>
                  <w:proofErr w:type="spellStart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  <w:p w:rsidR="0056493F" w:rsidRPr="00601121" w:rsidRDefault="0056493F" w:rsidP="00195DCB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b. </w:t>
                  </w:r>
                  <w:proofErr w:type="spellStart"/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Amali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 xml:space="preserve">60 </w:t>
                  </w:r>
                  <w:r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9D755A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Peperiksaan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Akhir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Final Examination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 xml:space="preserve">100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1.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Kertas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penerangan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Modul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AM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BPTV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2.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Kamus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istilah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S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ains</w:t>
            </w:r>
            <w:proofErr w:type="spellEnd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Kimia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Biologi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KBSM</w:t>
            </w:r>
          </w:p>
          <w:p w:rsid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3. KBSM.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>Biologi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="002D2AF3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2D2AF3" w:rsidRPr="00044790" w:rsidRDefault="002D2AF3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4.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KBSM.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CA"/>
              </w:rPr>
              <w:t>Kimia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044790" w:rsidRDefault="002D2AF3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>
              <w:rPr>
                <w:rFonts w:asciiTheme="majorHAnsi" w:hAnsiTheme="majorHAnsi"/>
                <w:sz w:val="20"/>
                <w:szCs w:val="20"/>
                <w:lang w:val="en-CA"/>
              </w:rPr>
              <w:t>5</w:t>
            </w:r>
            <w:r w:rsidR="00044790"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Biologi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 for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Pra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Universiti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Longman</w:t>
            </w:r>
          </w:p>
          <w:p w:rsidR="002D2AF3" w:rsidRPr="00044790" w:rsidRDefault="002D2AF3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6. Kimia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Buatan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untuk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CA"/>
              </w:rPr>
              <w:t>Matrikulasi</w:t>
            </w:r>
            <w:proofErr w:type="spellEnd"/>
          </w:p>
          <w:p w:rsidR="001D61D0" w:rsidRPr="001D61D0" w:rsidRDefault="001D61D0" w:rsidP="00C77A01">
            <w:pPr>
              <w:pStyle w:val="NoSpacing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3D" w:rsidRDefault="00682B3D" w:rsidP="006871BF">
      <w:r>
        <w:separator/>
      </w:r>
    </w:p>
  </w:endnote>
  <w:endnote w:type="continuationSeparator" w:id="0">
    <w:p w:rsidR="00682B3D" w:rsidRDefault="00682B3D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37"/>
      <w:gridCol w:w="40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77A01" w:rsidP="00B206A5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WSA</w:t>
          </w:r>
          <w:r w:rsidR="00646CFE">
            <w:rPr>
              <w:rFonts w:ascii="Arial" w:hAnsi="Arial" w:cs="Arial"/>
              <w:b/>
              <w:sz w:val="18"/>
              <w:szCs w:val="18"/>
            </w:rPr>
            <w:t>603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3959B4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C11DF4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3D" w:rsidRDefault="00682B3D" w:rsidP="006871BF">
      <w:r>
        <w:separator/>
      </w:r>
    </w:p>
  </w:footnote>
  <w:footnote w:type="continuationSeparator" w:id="0">
    <w:p w:rsidR="00682B3D" w:rsidRDefault="00682B3D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6580C"/>
    <w:rsid w:val="00095D68"/>
    <w:rsid w:val="000A35D8"/>
    <w:rsid w:val="000C1717"/>
    <w:rsid w:val="000C1F4B"/>
    <w:rsid w:val="000C6BFE"/>
    <w:rsid w:val="0010746C"/>
    <w:rsid w:val="001818A9"/>
    <w:rsid w:val="00190B3A"/>
    <w:rsid w:val="00195DCB"/>
    <w:rsid w:val="001B2AD2"/>
    <w:rsid w:val="001C17DD"/>
    <w:rsid w:val="001D61D0"/>
    <w:rsid w:val="001F73EF"/>
    <w:rsid w:val="00206E8C"/>
    <w:rsid w:val="002110E8"/>
    <w:rsid w:val="002131BD"/>
    <w:rsid w:val="00293F98"/>
    <w:rsid w:val="002B710E"/>
    <w:rsid w:val="002D144D"/>
    <w:rsid w:val="002D2AF3"/>
    <w:rsid w:val="0032001C"/>
    <w:rsid w:val="0034520A"/>
    <w:rsid w:val="003530A9"/>
    <w:rsid w:val="00355179"/>
    <w:rsid w:val="00356285"/>
    <w:rsid w:val="003665A7"/>
    <w:rsid w:val="00372FAC"/>
    <w:rsid w:val="00373F71"/>
    <w:rsid w:val="00374725"/>
    <w:rsid w:val="003947E8"/>
    <w:rsid w:val="003959B4"/>
    <w:rsid w:val="003972C7"/>
    <w:rsid w:val="003A5A08"/>
    <w:rsid w:val="00415FB8"/>
    <w:rsid w:val="00417CF9"/>
    <w:rsid w:val="00432ED9"/>
    <w:rsid w:val="00473BE7"/>
    <w:rsid w:val="00497404"/>
    <w:rsid w:val="004C5718"/>
    <w:rsid w:val="004D16D5"/>
    <w:rsid w:val="00504EF1"/>
    <w:rsid w:val="00506F5C"/>
    <w:rsid w:val="00562FC9"/>
    <w:rsid w:val="0056493F"/>
    <w:rsid w:val="005652F8"/>
    <w:rsid w:val="00566019"/>
    <w:rsid w:val="005A7BB7"/>
    <w:rsid w:val="005B4785"/>
    <w:rsid w:val="005D25D2"/>
    <w:rsid w:val="005D4F23"/>
    <w:rsid w:val="00624A73"/>
    <w:rsid w:val="00641564"/>
    <w:rsid w:val="00646CFE"/>
    <w:rsid w:val="00682B3D"/>
    <w:rsid w:val="00683ADC"/>
    <w:rsid w:val="0068404C"/>
    <w:rsid w:val="006843F7"/>
    <w:rsid w:val="006871BF"/>
    <w:rsid w:val="00696FFB"/>
    <w:rsid w:val="00697803"/>
    <w:rsid w:val="006A28D6"/>
    <w:rsid w:val="006B0648"/>
    <w:rsid w:val="006B295B"/>
    <w:rsid w:val="006D0A94"/>
    <w:rsid w:val="006D3952"/>
    <w:rsid w:val="006E37EE"/>
    <w:rsid w:val="0070488B"/>
    <w:rsid w:val="00727BAB"/>
    <w:rsid w:val="00774595"/>
    <w:rsid w:val="0077562D"/>
    <w:rsid w:val="007863E9"/>
    <w:rsid w:val="0079148B"/>
    <w:rsid w:val="007C161B"/>
    <w:rsid w:val="007C4402"/>
    <w:rsid w:val="007D49DB"/>
    <w:rsid w:val="007E0757"/>
    <w:rsid w:val="007F15B6"/>
    <w:rsid w:val="007F6640"/>
    <w:rsid w:val="00810508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411DA"/>
    <w:rsid w:val="00971105"/>
    <w:rsid w:val="00990662"/>
    <w:rsid w:val="009958CA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622FF"/>
    <w:rsid w:val="00A8288D"/>
    <w:rsid w:val="00A86920"/>
    <w:rsid w:val="00AB188B"/>
    <w:rsid w:val="00B0743C"/>
    <w:rsid w:val="00B206A5"/>
    <w:rsid w:val="00B310D0"/>
    <w:rsid w:val="00B33E35"/>
    <w:rsid w:val="00B35FE9"/>
    <w:rsid w:val="00B44718"/>
    <w:rsid w:val="00B55412"/>
    <w:rsid w:val="00B8532E"/>
    <w:rsid w:val="00B923C3"/>
    <w:rsid w:val="00BA3A4F"/>
    <w:rsid w:val="00BB277E"/>
    <w:rsid w:val="00BD488F"/>
    <w:rsid w:val="00BD74A4"/>
    <w:rsid w:val="00C00C4F"/>
    <w:rsid w:val="00C11DF4"/>
    <w:rsid w:val="00C122AC"/>
    <w:rsid w:val="00C33B88"/>
    <w:rsid w:val="00C33FB8"/>
    <w:rsid w:val="00C434B0"/>
    <w:rsid w:val="00C52A10"/>
    <w:rsid w:val="00C706F3"/>
    <w:rsid w:val="00C77A01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C7E5F"/>
    <w:rsid w:val="00DD4A8B"/>
    <w:rsid w:val="00DF5CE0"/>
    <w:rsid w:val="00E025B4"/>
    <w:rsid w:val="00E074C0"/>
    <w:rsid w:val="00E12A3B"/>
    <w:rsid w:val="00E2493A"/>
    <w:rsid w:val="00E25B14"/>
    <w:rsid w:val="00E8446C"/>
    <w:rsid w:val="00EC36C1"/>
    <w:rsid w:val="00EF192F"/>
    <w:rsid w:val="00F166BF"/>
    <w:rsid w:val="00F21461"/>
    <w:rsid w:val="00F33E58"/>
    <w:rsid w:val="00F573D9"/>
    <w:rsid w:val="00F62B7B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EBAF1-CA03-4183-92E1-D6074E9F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7</cp:revision>
  <cp:lastPrinted>2015-06-11T05:46:00Z</cp:lastPrinted>
  <dcterms:created xsi:type="dcterms:W3CDTF">2015-11-02T05:50:00Z</dcterms:created>
  <dcterms:modified xsi:type="dcterms:W3CDTF">2015-11-05T08:03:00Z</dcterms:modified>
</cp:coreProperties>
</file>