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84331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843315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843315">
                    <w:rPr>
                      <w:b/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>/</w:t>
                  </w:r>
                  <w:r w:rsidRPr="00843315">
                    <w:rPr>
                      <w:b/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843315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843315" w:rsidRDefault="00566019" w:rsidP="001818A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1818A9" w:rsidRPr="00843315">
                    <w:rPr>
                      <w:b/>
                      <w:sz w:val="20"/>
                      <w:szCs w:val="20"/>
                      <w:lang w:val="fr-FR"/>
                    </w:rPr>
                    <w:t>4/ JUN 2017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84331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843315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843315">
                    <w:rPr>
                      <w:b/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843315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843315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843315" w:rsidRDefault="001A6007" w:rsidP="009114BA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WPM</w:t>
                  </w:r>
                  <w:r w:rsidR="004A4452" w:rsidRPr="00843315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60</w:t>
                  </w:r>
                  <w:r w:rsidR="009114BA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1</w:t>
                  </w:r>
                  <w:r w:rsidR="004A4452" w:rsidRPr="00843315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843315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843315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843315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843315">
                    <w:rPr>
                      <w:b/>
                      <w:sz w:val="20"/>
                      <w:szCs w:val="20"/>
                    </w:rPr>
                    <w:t>(</w:t>
                  </w:r>
                  <w:r w:rsidRPr="00843315">
                    <w:rPr>
                      <w:b/>
                      <w:i/>
                      <w:sz w:val="20"/>
                      <w:szCs w:val="20"/>
                    </w:rPr>
                    <w:t>NAME OF</w:t>
                  </w:r>
                  <w:r w:rsidRPr="00843315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843315">
                    <w:rPr>
                      <w:b/>
                      <w:i/>
                      <w:sz w:val="20"/>
                      <w:szCs w:val="20"/>
                    </w:rPr>
                    <w:t>COURSE</w:t>
                  </w:r>
                  <w:r w:rsidRPr="00843315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843315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843315" w:rsidRDefault="00843315" w:rsidP="001A6007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PENDIDIKAN MORAL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843315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843315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843315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843315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r w:rsidRPr="00843315">
                    <w:rPr>
                      <w:b/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843315">
                    <w:rPr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843315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43315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843315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843315" w:rsidRPr="009D755A" w:rsidTr="00843315">
              <w:tc>
                <w:tcPr>
                  <w:tcW w:w="2520" w:type="dxa"/>
                  <w:shd w:val="clear" w:color="auto" w:fill="auto"/>
                </w:tcPr>
                <w:p w:rsidR="00843315" w:rsidRPr="009D755A" w:rsidRDefault="0084331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843315" w:rsidRPr="009D755A" w:rsidRDefault="0084331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43315" w:rsidRPr="009D755A" w:rsidRDefault="0084331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843315" w:rsidRPr="009D755A" w:rsidRDefault="0084331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843315" w:rsidRPr="009D755A" w:rsidRDefault="00843315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843315" w:rsidRPr="009D755A" w:rsidRDefault="00843315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843315" w:rsidRPr="009D755A" w:rsidTr="00843315">
              <w:tc>
                <w:tcPr>
                  <w:tcW w:w="2520" w:type="dxa"/>
                  <w:vMerge/>
                  <w:shd w:val="clear" w:color="auto" w:fill="auto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843315" w:rsidRPr="009D755A" w:rsidRDefault="00843315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163A5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843315" w:rsidRPr="009D755A" w:rsidTr="00843315">
              <w:tc>
                <w:tcPr>
                  <w:tcW w:w="7020" w:type="dxa"/>
                  <w:gridSpan w:val="2"/>
                  <w:shd w:val="clear" w:color="auto" w:fill="auto"/>
                </w:tcPr>
                <w:p w:rsidR="00843315" w:rsidRPr="009D755A" w:rsidRDefault="00843315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843315" w:rsidRPr="009D755A" w:rsidRDefault="00843315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1A6007" w:rsidRDefault="00843315" w:rsidP="0079148B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1A6007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843315" w:rsidRPr="009D755A" w:rsidTr="00843315">
              <w:tc>
                <w:tcPr>
                  <w:tcW w:w="7020" w:type="dxa"/>
                  <w:gridSpan w:val="2"/>
                  <w:shd w:val="clear" w:color="auto" w:fill="auto"/>
                </w:tcPr>
                <w:p w:rsidR="00843315" w:rsidRPr="009D755A" w:rsidRDefault="00843315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843315" w:rsidRPr="009D755A" w:rsidRDefault="00843315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843315" w:rsidRPr="009D755A" w:rsidRDefault="00843315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3972C7">
        <w:tc>
          <w:tcPr>
            <w:tcW w:w="10260" w:type="dxa"/>
            <w:shd w:val="clear" w:color="auto" w:fill="auto"/>
          </w:tcPr>
          <w:p w:rsidR="009F7D82" w:rsidRPr="000B1040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4A4452" w:rsidRPr="000B1040" w:rsidRDefault="004A445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C7918" w:rsidRPr="004B696A" w:rsidRDefault="008C7918" w:rsidP="00843315">
            <w:pPr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4B696A">
              <w:rPr>
                <w:rFonts w:asciiTheme="majorHAnsi" w:hAnsiTheme="majorHAnsi" w:cs="Arial"/>
                <w:sz w:val="20"/>
                <w:szCs w:val="20"/>
                <w:lang w:val="ms-MY"/>
              </w:rPr>
              <w:t xml:space="preserve">Secara umumnya,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Pengajian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mendidik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supaya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menjadi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insan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bermoral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berakhlak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mulia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menekankan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aspek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perkembangan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penaakulan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moral,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perasaan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>perlakuan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moral.</w:t>
            </w:r>
          </w:p>
          <w:p w:rsidR="00855FC8" w:rsidRPr="000B1040" w:rsidRDefault="00855FC8" w:rsidP="00855FC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8C7918" w:rsidRDefault="008C7918" w:rsidP="00843315">
            <w:pPr>
              <w:spacing w:before="60" w:after="60"/>
              <w:ind w:left="144"/>
              <w:jc w:val="both"/>
              <w:rPr>
                <w:rFonts w:ascii="Arial" w:hAnsi="Arial" w:cs="Arial"/>
              </w:rPr>
            </w:pP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Kursus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Pengajian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kolej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vokasional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secara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keseluruhannya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menjelaskan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kedudukan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realiti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kehidupan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seharian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Malaysia.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Kandungan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kursus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menghuraikan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bagaimana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konsep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ditekankan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Rukun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Negara,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Falsafah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Pendidikan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Negara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Wawasan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2020.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Pengetahuan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daripada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kursus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membolehkan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mengaplikasikan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nilai-nilai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selaras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dengan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kehendak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Rukun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Negara,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Falsafah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Pendidikan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Kebangsaan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kehendak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Wawasan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2020.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Melalui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pemikiran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yang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dipelajari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diharap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dapat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menggunakan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teori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dengan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cara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yang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betul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serta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dapat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mengatasi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cabaran-cabaran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usaha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mengamalkan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nilai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kehidupan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seharian</w:t>
            </w:r>
            <w:proofErr w:type="spellEnd"/>
            <w:r w:rsidRPr="007E6B3A">
              <w:rPr>
                <w:rFonts w:ascii="Arial" w:hAnsi="Arial" w:cs="Arial"/>
              </w:rPr>
              <w:t>.</w:t>
            </w:r>
          </w:p>
          <w:p w:rsidR="001D61D0" w:rsidRPr="000B1040" w:rsidRDefault="001D61D0" w:rsidP="00855FC8">
            <w:pPr>
              <w:shd w:val="clear" w:color="auto" w:fill="FFFFFF"/>
              <w:spacing w:before="135" w:after="135" w:line="270" w:lineRule="atLeast"/>
              <w:ind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0B1040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1040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8C7918" w:rsidRPr="004B696A" w:rsidTr="00DA3C37">
              <w:tc>
                <w:tcPr>
                  <w:tcW w:w="522" w:type="dxa"/>
                </w:tcPr>
                <w:p w:rsidR="008C7918" w:rsidRPr="004B696A" w:rsidRDefault="008C7918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B696A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8C7918" w:rsidRPr="004B696A" w:rsidRDefault="008C7918" w:rsidP="008C7918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B696A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>Menjelaskan konsep moral yang betul dalam kehidupan seharian (C3,PLO1)</w:t>
                  </w:r>
                </w:p>
              </w:tc>
            </w:tr>
            <w:tr w:rsidR="008C7918" w:rsidRPr="004B696A" w:rsidTr="00DA3C37">
              <w:tc>
                <w:tcPr>
                  <w:tcW w:w="522" w:type="dxa"/>
                </w:tcPr>
                <w:p w:rsidR="008C7918" w:rsidRPr="004B696A" w:rsidRDefault="008C7918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B696A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8C7918" w:rsidRPr="004B696A" w:rsidRDefault="008C7918" w:rsidP="008C7918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B696A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>Menterjemahkan asas nilai moral dalam proses sosialisasi (P2,PLO4)</w:t>
                  </w:r>
                </w:p>
              </w:tc>
            </w:tr>
            <w:tr w:rsidR="008C7918" w:rsidRPr="004B696A" w:rsidTr="00DA3C37">
              <w:tc>
                <w:tcPr>
                  <w:tcW w:w="522" w:type="dxa"/>
                </w:tcPr>
                <w:p w:rsidR="008C7918" w:rsidRPr="004B696A" w:rsidRDefault="008C7918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B696A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8C7918" w:rsidRPr="004B696A" w:rsidRDefault="008C7918" w:rsidP="008C7918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B696A">
                    <w:rPr>
                      <w:rFonts w:asciiTheme="majorHAnsi" w:hAnsiTheme="majorHAnsi"/>
                      <w:sz w:val="20"/>
                      <w:szCs w:val="20"/>
                      <w:lang w:val="ms-MY"/>
                    </w:rPr>
                    <w:t>Menunjukkan sifat insan yang bertanggungjawab dan sedia berbakti kepada masyarakat (A3,PLO6)</w:t>
                  </w:r>
                </w:p>
              </w:tc>
            </w:tr>
          </w:tbl>
          <w:p w:rsidR="009F7D82" w:rsidRPr="000B1040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0B1040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Style w:val="TableGrid"/>
              <w:tblW w:w="9916" w:type="dxa"/>
              <w:tblLayout w:type="fixed"/>
              <w:tblLook w:val="01E0"/>
            </w:tblPr>
            <w:tblGrid>
              <w:gridCol w:w="967"/>
              <w:gridCol w:w="606"/>
              <w:gridCol w:w="639"/>
              <w:gridCol w:w="4554"/>
              <w:gridCol w:w="1228"/>
              <w:gridCol w:w="1922"/>
            </w:tblGrid>
            <w:tr w:rsidR="008C7918" w:rsidRPr="008C7918" w:rsidTr="008C7918">
              <w:tc>
                <w:tcPr>
                  <w:tcW w:w="967" w:type="dxa"/>
                  <w:tcBorders>
                    <w:bottom w:val="single" w:sz="4" w:space="0" w:color="auto"/>
                  </w:tcBorders>
                </w:tcPr>
                <w:p w:rsidR="008C7918" w:rsidRPr="004A4452" w:rsidRDefault="008C7918" w:rsidP="00843315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MINGGU</w:t>
                  </w:r>
                </w:p>
                <w:p w:rsidR="008C7918" w:rsidRPr="004A4452" w:rsidRDefault="008C7918" w:rsidP="00843315">
                  <w:pPr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WEEK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5799" w:type="dxa"/>
                  <w:gridSpan w:val="3"/>
                  <w:tcBorders>
                    <w:bottom w:val="single" w:sz="4" w:space="0" w:color="auto"/>
                  </w:tcBorders>
                </w:tcPr>
                <w:p w:rsidR="008C7918" w:rsidRPr="004A4452" w:rsidRDefault="008C7918" w:rsidP="004B696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KANDUNGAN</w:t>
                  </w:r>
                </w:p>
                <w:p w:rsidR="008C7918" w:rsidRPr="004A4452" w:rsidRDefault="008C7918" w:rsidP="004B696A">
                  <w:pPr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CONTENT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  <w:vAlign w:val="center"/>
                </w:tcPr>
                <w:p w:rsidR="008C7918" w:rsidRPr="004A4452" w:rsidRDefault="008C7918" w:rsidP="00843315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SLT</w:t>
                  </w:r>
                </w:p>
              </w:tc>
              <w:tc>
                <w:tcPr>
                  <w:tcW w:w="1922" w:type="dxa"/>
                  <w:tcBorders>
                    <w:bottom w:val="single" w:sz="4" w:space="0" w:color="auto"/>
                  </w:tcBorders>
                </w:tcPr>
                <w:p w:rsidR="008C7918" w:rsidRPr="004A4452" w:rsidRDefault="008C7918" w:rsidP="004B696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PENTAKSIRAN</w:t>
                  </w:r>
                </w:p>
                <w:p w:rsidR="008C7918" w:rsidRPr="004A4452" w:rsidRDefault="008C7918" w:rsidP="004B696A">
                  <w:pPr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ASSESSMENT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5193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ind w:left="86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  <w:lang w:val="fi-FI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sv-SE"/>
                    </w:rPr>
                    <w:t>Menjelaskan Pemikiran Moral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8</w:t>
                  </w:r>
                </w:p>
              </w:tc>
              <w:tc>
                <w:tcPr>
                  <w:tcW w:w="1922" w:type="dxa"/>
                  <w:vMerge w:val="restart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folio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Naturalis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Emotivis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Intuisionis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1.4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Rasionalis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D54F22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1.5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Lateral 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bottom w:val="nil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8C7918"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5-7</w:t>
                  </w:r>
                </w:p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5193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Membincangkan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Sosialisasi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Pembentukan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Perlakuan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Moral</w:t>
                  </w:r>
                </w:p>
              </w:tc>
              <w:tc>
                <w:tcPr>
                  <w:tcW w:w="1228" w:type="dxa"/>
                  <w:vMerge w:val="restart"/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6</w:t>
                  </w:r>
                </w:p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 w:val="restart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Pembentangan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</w:tr>
            <w:tr w:rsidR="008C7918" w:rsidRPr="008C7918" w:rsidTr="008C7918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Norma –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norma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sosial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kawalan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sosial</w:t>
                  </w:r>
                  <w:proofErr w:type="spellEnd"/>
                </w:p>
              </w:tc>
              <w:tc>
                <w:tcPr>
                  <w:tcW w:w="1228" w:type="dxa"/>
                  <w:vMerge/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8C7918">
              <w:tc>
                <w:tcPr>
                  <w:tcW w:w="967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Agen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sosialisasi</w:t>
                  </w:r>
                  <w:proofErr w:type="spellEnd"/>
                </w:p>
              </w:tc>
              <w:tc>
                <w:tcPr>
                  <w:tcW w:w="1228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bottom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4E252B"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8-11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51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Membincangkan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konsep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Moral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di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8</w:t>
                  </w:r>
                </w:p>
              </w:tc>
              <w:tc>
                <w:tcPr>
                  <w:tcW w:w="19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Pembentangan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</w:tr>
            <w:tr w:rsidR="008C7918" w:rsidRPr="008C7918" w:rsidTr="004E252B"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3.1 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Konsep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4E252B"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Rukun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4E252B"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Falsafah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Pendidikan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Kebangsaan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4E252B"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3.4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Wawasan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2020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8C7918" w:rsidRPr="008C7918" w:rsidTr="00641588">
              <w:tc>
                <w:tcPr>
                  <w:tcW w:w="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12-14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51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sv-SE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sv-SE"/>
                    </w:rPr>
                    <w:t>Membincangkan cabaran dalam pengamalan nilai moral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6</w:t>
                  </w:r>
                </w:p>
              </w:tc>
              <w:tc>
                <w:tcPr>
                  <w:tcW w:w="19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Pembentangan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dan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</w:tr>
            <w:tr w:rsidR="008C7918" w:rsidRPr="008C7918" w:rsidTr="00641588">
              <w:tc>
                <w:tcPr>
                  <w:tcW w:w="9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4.1 </w:t>
                  </w:r>
                </w:p>
              </w:tc>
              <w:tc>
                <w:tcPr>
                  <w:tcW w:w="4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cabaran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pengalaman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nilai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moral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918" w:rsidRPr="008C7918" w:rsidRDefault="008C7918" w:rsidP="00843315">
                  <w:pPr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918" w:rsidRPr="008C7918" w:rsidRDefault="008C7918" w:rsidP="004B696A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8C7918" w:rsidRDefault="008C7918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Pr="009D755A" w:rsidRDefault="004B696A" w:rsidP="004B696A">
            <w:pPr>
              <w:jc w:val="left"/>
              <w:rPr>
                <w:bCs/>
                <w:sz w:val="20"/>
                <w:szCs w:val="20"/>
              </w:rPr>
            </w:pPr>
          </w:p>
          <w:p w:rsidR="00774595" w:rsidRPr="009D755A" w:rsidRDefault="00774595" w:rsidP="004A445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4A4452" w:rsidRDefault="007C161B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43315" w:rsidRPr="009D755A" w:rsidRDefault="00843315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  <w:tbl>
            <w:tblPr>
              <w:tblStyle w:val="TableGrid"/>
              <w:tblW w:w="0" w:type="auto"/>
              <w:tblInd w:w="247" w:type="dxa"/>
              <w:tblLayout w:type="fixed"/>
              <w:tblLook w:val="04A0"/>
            </w:tblPr>
            <w:tblGrid>
              <w:gridCol w:w="553"/>
              <w:gridCol w:w="4104"/>
              <w:gridCol w:w="1350"/>
            </w:tblGrid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Bil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Jenis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Penaksiran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Markah</w:t>
                  </w:r>
                  <w:proofErr w:type="spellEnd"/>
                </w:p>
              </w:tc>
            </w:tr>
            <w:tr w:rsidR="008C7918" w:rsidRPr="004A4452" w:rsidTr="000A4C10">
              <w:tc>
                <w:tcPr>
                  <w:tcW w:w="553" w:type="dxa"/>
                  <w:vAlign w:val="center"/>
                </w:tcPr>
                <w:p w:rsidR="008C7918" w:rsidRPr="004A4452" w:rsidRDefault="008C7918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04" w:type="dxa"/>
                </w:tcPr>
                <w:p w:rsidR="008C7918" w:rsidRPr="008C7918" w:rsidRDefault="008C7918" w:rsidP="008C7918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Pentaksiran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8C7918" w:rsidRPr="004A4452" w:rsidRDefault="008C7918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60%</w:t>
                  </w:r>
                </w:p>
              </w:tc>
            </w:tr>
            <w:tr w:rsidR="008C7918" w:rsidRPr="004A4452" w:rsidTr="000A4C10">
              <w:tc>
                <w:tcPr>
                  <w:tcW w:w="553" w:type="dxa"/>
                  <w:vAlign w:val="center"/>
                </w:tcPr>
                <w:p w:rsidR="008C7918" w:rsidRPr="004A4452" w:rsidRDefault="008C7918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</w:tcPr>
                <w:p w:rsidR="008C7918" w:rsidRPr="008C7918" w:rsidRDefault="008C7918" w:rsidP="008C7918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a)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Kuiz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(30%)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8C7918" w:rsidRPr="004A4452" w:rsidRDefault="008C7918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8C7918" w:rsidRPr="004A4452" w:rsidTr="000A4C10">
              <w:tc>
                <w:tcPr>
                  <w:tcW w:w="553" w:type="dxa"/>
                  <w:vAlign w:val="center"/>
                </w:tcPr>
                <w:p w:rsidR="008C7918" w:rsidRPr="004A4452" w:rsidRDefault="008C7918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</w:tcPr>
                <w:p w:rsidR="008C7918" w:rsidRPr="008C7918" w:rsidRDefault="008C7918" w:rsidP="008C7918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b) Folio (10%)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8C7918" w:rsidRPr="004A4452" w:rsidRDefault="008C7918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8C7918" w:rsidRPr="004A4452" w:rsidTr="000A4C10">
              <w:tc>
                <w:tcPr>
                  <w:tcW w:w="553" w:type="dxa"/>
                  <w:vAlign w:val="center"/>
                </w:tcPr>
                <w:p w:rsidR="008C7918" w:rsidRPr="004A4452" w:rsidRDefault="008C7918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</w:tcPr>
                <w:p w:rsidR="008C7918" w:rsidRPr="008C7918" w:rsidRDefault="008C7918" w:rsidP="008C7918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c)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Persembahan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ceramah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/ forum (10%)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8C7918" w:rsidRPr="004A4452" w:rsidRDefault="008C7918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8C7918" w:rsidRPr="004A4452" w:rsidTr="000A4C10">
              <w:tc>
                <w:tcPr>
                  <w:tcW w:w="553" w:type="dxa"/>
                  <w:vAlign w:val="center"/>
                </w:tcPr>
                <w:p w:rsidR="008C7918" w:rsidRPr="004A4452" w:rsidRDefault="008C7918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</w:tcPr>
                <w:p w:rsidR="008C7918" w:rsidRPr="008C7918" w:rsidRDefault="008C7918" w:rsidP="008C7918">
                  <w:pPr>
                    <w:spacing w:line="276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d) </w:t>
                  </w:r>
                  <w:proofErr w:type="spellStart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>Projek</w:t>
                  </w:r>
                  <w:proofErr w:type="spellEnd"/>
                  <w:r w:rsidRPr="008C7918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(10%)</w:t>
                  </w:r>
                </w:p>
              </w:tc>
              <w:tc>
                <w:tcPr>
                  <w:tcW w:w="1350" w:type="dxa"/>
                  <w:vAlign w:val="center"/>
                </w:tcPr>
                <w:p w:rsidR="008C7918" w:rsidRPr="004A4452" w:rsidRDefault="008C7918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Peperiksaan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Akhir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40%</w:t>
                  </w: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100 %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  <w:p w:rsidR="008C7918" w:rsidRPr="009D755A" w:rsidRDefault="008C791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8C7918">
        <w:tc>
          <w:tcPr>
            <w:tcW w:w="10260" w:type="dxa"/>
            <w:shd w:val="clear" w:color="auto" w:fill="auto"/>
            <w:vAlign w:val="center"/>
          </w:tcPr>
          <w:p w:rsidR="007C161B" w:rsidRPr="001D61D0" w:rsidRDefault="007C161B" w:rsidP="008C7918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7C161B" w:rsidRPr="001D61D0" w:rsidRDefault="007C161B" w:rsidP="008C7918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8C7918" w:rsidRPr="004B696A" w:rsidRDefault="008C7918" w:rsidP="004B696A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Pendidikan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Moral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untuk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Universiti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4B696A">
              <w:rPr>
                <w:rFonts w:asciiTheme="majorHAnsi" w:hAnsiTheme="majorHAnsi" w:cs="Arial"/>
                <w:sz w:val="20"/>
                <w:szCs w:val="20"/>
              </w:rPr>
              <w:t>Kolej</w:t>
            </w:r>
            <w:proofErr w:type="spellEnd"/>
            <w:r w:rsidRPr="004B696A">
              <w:rPr>
                <w:rFonts w:asciiTheme="majorHAnsi" w:hAnsiTheme="majorHAnsi" w:cs="Arial"/>
                <w:sz w:val="20"/>
                <w:szCs w:val="20"/>
              </w:rPr>
              <w:t>, second edition</w:t>
            </w:r>
          </w:p>
          <w:p w:rsidR="008C7918" w:rsidRPr="008C7918" w:rsidRDefault="008C7918" w:rsidP="004B696A">
            <w:pPr>
              <w:ind w:left="882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8C7918">
              <w:rPr>
                <w:rFonts w:asciiTheme="majorHAnsi" w:hAnsiTheme="majorHAnsi" w:cs="Arial"/>
                <w:sz w:val="20"/>
                <w:szCs w:val="20"/>
              </w:rPr>
              <w:t>Vishalache</w:t>
            </w:r>
            <w:proofErr w:type="spellEnd"/>
            <w:r w:rsidRPr="008C79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8C7918">
              <w:rPr>
                <w:rFonts w:asciiTheme="majorHAnsi" w:hAnsiTheme="majorHAnsi" w:cs="Arial"/>
                <w:sz w:val="20"/>
                <w:szCs w:val="20"/>
              </w:rPr>
              <w:t>Balakrishnan</w:t>
            </w:r>
            <w:proofErr w:type="spellEnd"/>
            <w:r w:rsidRPr="008C7918">
              <w:rPr>
                <w:rFonts w:asciiTheme="majorHAnsi" w:hAnsiTheme="majorHAnsi" w:cs="Arial"/>
                <w:sz w:val="20"/>
                <w:szCs w:val="20"/>
              </w:rPr>
              <w:t xml:space="preserve"> 2009, </w:t>
            </w:r>
            <w:proofErr w:type="spellStart"/>
            <w:r w:rsidRPr="008C7918">
              <w:rPr>
                <w:rFonts w:asciiTheme="majorHAnsi" w:hAnsiTheme="majorHAnsi" w:cs="Arial"/>
                <w:sz w:val="20"/>
                <w:szCs w:val="20"/>
              </w:rPr>
              <w:t>Arah</w:t>
            </w:r>
            <w:proofErr w:type="spellEnd"/>
            <w:r w:rsidRPr="008C7918">
              <w:rPr>
                <w:rFonts w:asciiTheme="majorHAnsi" w:hAnsiTheme="majorHAnsi" w:cs="Arial"/>
                <w:sz w:val="20"/>
                <w:szCs w:val="20"/>
              </w:rPr>
              <w:t xml:space="preserve"> Publications</w:t>
            </w:r>
          </w:p>
          <w:p w:rsidR="001D61D0" w:rsidRPr="001D61D0" w:rsidRDefault="001D61D0" w:rsidP="008C7918">
            <w:pPr>
              <w:jc w:val="left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A9" w:rsidRDefault="008D37A9" w:rsidP="006871BF">
      <w:r>
        <w:separator/>
      </w:r>
    </w:p>
  </w:endnote>
  <w:endnote w:type="continuationSeparator" w:id="0">
    <w:p w:rsidR="008D37A9" w:rsidRDefault="008D37A9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57"/>
      <w:gridCol w:w="38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4A4452" w:rsidP="008C7918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WP</w:t>
          </w:r>
          <w:r w:rsidR="008C7918">
            <w:rPr>
              <w:rFonts w:ascii="Arial" w:hAnsi="Arial" w:cs="Arial"/>
              <w:b/>
              <w:sz w:val="18"/>
              <w:szCs w:val="18"/>
            </w:rPr>
            <w:t>M</w:t>
          </w:r>
          <w:r w:rsidR="009114BA">
            <w:rPr>
              <w:rFonts w:ascii="Arial" w:hAnsi="Arial" w:cs="Arial"/>
              <w:b/>
              <w:sz w:val="18"/>
              <w:szCs w:val="18"/>
            </w:rPr>
            <w:t>601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6B28CA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9114BA">
            <w:rPr>
              <w:rFonts w:ascii="Arial" w:hAnsi="Arial" w:cs="Arial"/>
              <w:b/>
              <w:iCs/>
              <w:noProof/>
              <w:sz w:val="18"/>
              <w:szCs w:val="18"/>
            </w:rPr>
            <w:t>2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A9" w:rsidRDefault="008D37A9" w:rsidP="006871BF">
      <w:r>
        <w:separator/>
      </w:r>
    </w:p>
  </w:footnote>
  <w:footnote w:type="continuationSeparator" w:id="0">
    <w:p w:rsidR="008D37A9" w:rsidRDefault="008D37A9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D4F92"/>
    <w:multiLevelType w:val="hybridMultilevel"/>
    <w:tmpl w:val="9294CDCC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8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6580C"/>
    <w:rsid w:val="000A35D8"/>
    <w:rsid w:val="000B1040"/>
    <w:rsid w:val="000C1717"/>
    <w:rsid w:val="000C1F4B"/>
    <w:rsid w:val="000C6BFE"/>
    <w:rsid w:val="000D4773"/>
    <w:rsid w:val="0010746C"/>
    <w:rsid w:val="001818A9"/>
    <w:rsid w:val="00190B3A"/>
    <w:rsid w:val="001A6007"/>
    <w:rsid w:val="001C17DD"/>
    <w:rsid w:val="001D61D0"/>
    <w:rsid w:val="001F73EF"/>
    <w:rsid w:val="00206E8C"/>
    <w:rsid w:val="002110E8"/>
    <w:rsid w:val="002131BD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415FB8"/>
    <w:rsid w:val="00417CF9"/>
    <w:rsid w:val="00432ED9"/>
    <w:rsid w:val="00473BE7"/>
    <w:rsid w:val="00497404"/>
    <w:rsid w:val="004A4452"/>
    <w:rsid w:val="004B696A"/>
    <w:rsid w:val="004C5718"/>
    <w:rsid w:val="004D16D5"/>
    <w:rsid w:val="00504EF1"/>
    <w:rsid w:val="00506F5C"/>
    <w:rsid w:val="005652F8"/>
    <w:rsid w:val="00566019"/>
    <w:rsid w:val="005A7BB7"/>
    <w:rsid w:val="005B4785"/>
    <w:rsid w:val="005D25D2"/>
    <w:rsid w:val="005D4F23"/>
    <w:rsid w:val="00624A73"/>
    <w:rsid w:val="00683ADC"/>
    <w:rsid w:val="0068404C"/>
    <w:rsid w:val="006843F7"/>
    <w:rsid w:val="006871BF"/>
    <w:rsid w:val="00696FFB"/>
    <w:rsid w:val="00697803"/>
    <w:rsid w:val="006A28D6"/>
    <w:rsid w:val="006B0648"/>
    <w:rsid w:val="006B28CA"/>
    <w:rsid w:val="006D3952"/>
    <w:rsid w:val="0070488B"/>
    <w:rsid w:val="00727BAB"/>
    <w:rsid w:val="0076572B"/>
    <w:rsid w:val="00774595"/>
    <w:rsid w:val="0077562D"/>
    <w:rsid w:val="0079148B"/>
    <w:rsid w:val="007C161B"/>
    <w:rsid w:val="007C4402"/>
    <w:rsid w:val="007C4E2B"/>
    <w:rsid w:val="007D49DB"/>
    <w:rsid w:val="007E0757"/>
    <w:rsid w:val="007F15B6"/>
    <w:rsid w:val="007F6640"/>
    <w:rsid w:val="00817E72"/>
    <w:rsid w:val="00827A3C"/>
    <w:rsid w:val="00837C9F"/>
    <w:rsid w:val="00843315"/>
    <w:rsid w:val="00844A6F"/>
    <w:rsid w:val="00845AA0"/>
    <w:rsid w:val="00855FC8"/>
    <w:rsid w:val="008620E8"/>
    <w:rsid w:val="008831DD"/>
    <w:rsid w:val="008901BE"/>
    <w:rsid w:val="0089328F"/>
    <w:rsid w:val="00893CAA"/>
    <w:rsid w:val="008A74A3"/>
    <w:rsid w:val="008A7B89"/>
    <w:rsid w:val="008C370D"/>
    <w:rsid w:val="008C7918"/>
    <w:rsid w:val="008D37A9"/>
    <w:rsid w:val="00900959"/>
    <w:rsid w:val="009031DC"/>
    <w:rsid w:val="00905089"/>
    <w:rsid w:val="009114BA"/>
    <w:rsid w:val="00927EED"/>
    <w:rsid w:val="00971105"/>
    <w:rsid w:val="00990662"/>
    <w:rsid w:val="00992114"/>
    <w:rsid w:val="009958CA"/>
    <w:rsid w:val="009D0DE8"/>
    <w:rsid w:val="009D668C"/>
    <w:rsid w:val="009D755A"/>
    <w:rsid w:val="009E28F1"/>
    <w:rsid w:val="009F7D82"/>
    <w:rsid w:val="00A02973"/>
    <w:rsid w:val="00A13ABB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5412"/>
    <w:rsid w:val="00B825E0"/>
    <w:rsid w:val="00B8532E"/>
    <w:rsid w:val="00B923C3"/>
    <w:rsid w:val="00BA3A4F"/>
    <w:rsid w:val="00BB277E"/>
    <w:rsid w:val="00BD488F"/>
    <w:rsid w:val="00BD74A4"/>
    <w:rsid w:val="00C00C4F"/>
    <w:rsid w:val="00C03F1F"/>
    <w:rsid w:val="00C122AC"/>
    <w:rsid w:val="00C33B88"/>
    <w:rsid w:val="00C33FB8"/>
    <w:rsid w:val="00C434B0"/>
    <w:rsid w:val="00C52A10"/>
    <w:rsid w:val="00C706F3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8446C"/>
    <w:rsid w:val="00EF192F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A9B09-F7A7-4B04-8B28-F1CBF8A3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3</cp:revision>
  <cp:lastPrinted>2015-06-11T05:46:00Z</cp:lastPrinted>
  <dcterms:created xsi:type="dcterms:W3CDTF">2015-11-02T02:03:00Z</dcterms:created>
  <dcterms:modified xsi:type="dcterms:W3CDTF">2015-11-05T06:43:00Z</dcterms:modified>
</cp:coreProperties>
</file>