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CA20AD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CA20AD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CA20AD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CA20AD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CA20AD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CA20AD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CA20AD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CA20AD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CA20AD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CA20AD" w:rsidRDefault="00566019" w:rsidP="007863E9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A20AD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7863E9" w:rsidRPr="00CA20AD">
                    <w:rPr>
                      <w:b/>
                      <w:sz w:val="20"/>
                      <w:szCs w:val="20"/>
                      <w:lang w:val="fr-FR"/>
                    </w:rPr>
                    <w:t>1</w:t>
                  </w:r>
                  <w:r w:rsidR="001818A9" w:rsidRPr="00CA20AD">
                    <w:rPr>
                      <w:b/>
                      <w:sz w:val="20"/>
                      <w:szCs w:val="20"/>
                      <w:lang w:val="fr-FR"/>
                    </w:rPr>
                    <w:t xml:space="preserve">/ </w:t>
                  </w:r>
                  <w:r w:rsidR="007863E9" w:rsidRPr="00CA20AD">
                    <w:rPr>
                      <w:b/>
                      <w:sz w:val="20"/>
                      <w:szCs w:val="20"/>
                      <w:lang w:val="fr-FR"/>
                    </w:rPr>
                    <w:t>JAN 2016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CA20AD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CA20AD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CA20AD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CA20AD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CA20AD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CA20AD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CA20AD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CA20AD" w:rsidRDefault="00044790" w:rsidP="00CB632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b/>
                      <w:sz w:val="20"/>
                      <w:szCs w:val="20"/>
                    </w:rPr>
                    <w:t>W</w:t>
                  </w:r>
                  <w:r w:rsidR="007863E9" w:rsidRPr="00CA20AD">
                    <w:rPr>
                      <w:rFonts w:cs="Arial"/>
                      <w:b/>
                      <w:sz w:val="20"/>
                      <w:szCs w:val="20"/>
                    </w:rPr>
                    <w:t>S</w:t>
                  </w:r>
                  <w:r w:rsidR="00CB6329" w:rsidRPr="00CA20AD">
                    <w:rPr>
                      <w:rFonts w:cs="Arial"/>
                      <w:b/>
                      <w:sz w:val="20"/>
                      <w:szCs w:val="20"/>
                    </w:rPr>
                    <w:t>T</w:t>
                  </w:r>
                  <w:r w:rsidR="007863E9" w:rsidRPr="00CA20AD">
                    <w:rPr>
                      <w:rFonts w:cs="Arial"/>
                      <w:b/>
                      <w:sz w:val="20"/>
                      <w:szCs w:val="20"/>
                    </w:rPr>
                    <w:t>5</w:t>
                  </w:r>
                  <w:r w:rsidRPr="00CA20AD">
                    <w:rPr>
                      <w:rFonts w:cs="Arial"/>
                      <w:b/>
                      <w:sz w:val="20"/>
                      <w:szCs w:val="20"/>
                    </w:rPr>
                    <w:t>0</w:t>
                  </w:r>
                  <w:r w:rsidR="00C623D8">
                    <w:rPr>
                      <w:rFonts w:cs="Arial"/>
                      <w:b/>
                      <w:sz w:val="20"/>
                      <w:szCs w:val="20"/>
                    </w:rPr>
                    <w:t>3</w:t>
                  </w:r>
                  <w:r w:rsidR="007863E9" w:rsidRPr="00CA20AD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CA20AD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CA20AD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CA20AD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A20AD">
                    <w:rPr>
                      <w:sz w:val="20"/>
                      <w:szCs w:val="20"/>
                    </w:rPr>
                    <w:t>(</w:t>
                  </w:r>
                  <w:r w:rsidRPr="00CA20AD">
                    <w:rPr>
                      <w:i/>
                      <w:sz w:val="20"/>
                      <w:szCs w:val="20"/>
                    </w:rPr>
                    <w:t>NAME OF</w:t>
                  </w:r>
                  <w:r w:rsidRPr="00CA20AD">
                    <w:rPr>
                      <w:sz w:val="20"/>
                      <w:szCs w:val="20"/>
                    </w:rPr>
                    <w:t xml:space="preserve"> </w:t>
                  </w:r>
                  <w:r w:rsidRPr="00CA20AD">
                    <w:rPr>
                      <w:i/>
                      <w:sz w:val="20"/>
                      <w:szCs w:val="20"/>
                    </w:rPr>
                    <w:t>COURSE</w:t>
                  </w:r>
                  <w:r w:rsidRPr="00CA20AD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CA20AD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CA20AD" w:rsidRDefault="00CA20AD" w:rsidP="00CB632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CA20AD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SAINS  TEKNOLOGI</w:t>
                  </w:r>
                  <w:r w:rsidR="00052439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CA20AD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CA20AD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CA20AD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CA20AD">
                    <w:rPr>
                      <w:bCs/>
                      <w:sz w:val="20"/>
                      <w:szCs w:val="20"/>
                    </w:rPr>
                    <w:t>(</w:t>
                  </w:r>
                  <w:r w:rsidRPr="00CA20AD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CA20AD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CA20AD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CA20AD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CA20AD" w:rsidRPr="009D755A" w:rsidTr="00CA20AD">
              <w:tc>
                <w:tcPr>
                  <w:tcW w:w="2520" w:type="dxa"/>
                  <w:shd w:val="clear" w:color="auto" w:fill="auto"/>
                </w:tcPr>
                <w:p w:rsidR="00CA20AD" w:rsidRPr="009D755A" w:rsidRDefault="00CA20AD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CA20AD" w:rsidRPr="009D755A" w:rsidRDefault="00CA20AD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A20AD" w:rsidRPr="009D755A" w:rsidRDefault="00CA20AD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CA20AD" w:rsidRPr="009D755A" w:rsidRDefault="00CA20AD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A20AD" w:rsidRPr="009D755A" w:rsidRDefault="00CA20AD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CA20AD" w:rsidRPr="009D755A" w:rsidRDefault="00CA20AD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CA20AD" w:rsidRPr="009D755A" w:rsidTr="00CA20AD">
              <w:tc>
                <w:tcPr>
                  <w:tcW w:w="2520" w:type="dxa"/>
                  <w:vMerge/>
                  <w:shd w:val="clear" w:color="auto" w:fill="auto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CA20AD" w:rsidRPr="009D755A" w:rsidRDefault="00CA20AD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CA20AD" w:rsidRDefault="00CA20AD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CA20AD" w:rsidRPr="009D755A" w:rsidTr="00CA20AD">
              <w:tc>
                <w:tcPr>
                  <w:tcW w:w="7020" w:type="dxa"/>
                  <w:gridSpan w:val="2"/>
                  <w:shd w:val="clear" w:color="auto" w:fill="auto"/>
                </w:tcPr>
                <w:p w:rsidR="00CA20AD" w:rsidRPr="009D755A" w:rsidRDefault="00CA20AD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CA20AD" w:rsidRPr="009D755A" w:rsidRDefault="00CA20AD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9D755A" w:rsidRDefault="00CA20AD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CA20AD" w:rsidRPr="009D755A" w:rsidTr="00CA20AD">
              <w:tc>
                <w:tcPr>
                  <w:tcW w:w="7020" w:type="dxa"/>
                  <w:gridSpan w:val="2"/>
                  <w:shd w:val="clear" w:color="auto" w:fill="auto"/>
                </w:tcPr>
                <w:p w:rsidR="00CA20AD" w:rsidRPr="009D755A" w:rsidRDefault="00CA20AD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CA20AD" w:rsidRPr="009D755A" w:rsidRDefault="00CA20AD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CA20AD" w:rsidRPr="009D755A" w:rsidRDefault="00CA20AD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044790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79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79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(</w:t>
            </w:r>
            <w:r w:rsidRPr="0004479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044790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355179" w:rsidRPr="00355179" w:rsidRDefault="00355179" w:rsidP="00CA20AD">
            <w:pPr>
              <w:spacing w:before="120" w:after="120"/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adalah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aplikasi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fakta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tersebut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membuat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keputusan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penyelesaian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masalah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bidang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kehidupan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.</w:t>
            </w:r>
          </w:p>
          <w:p w:rsidR="00855FC8" w:rsidRPr="00044790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SINOPSIS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SYNOPSIS</w:t>
            </w:r>
            <w:r w:rsidRPr="001D61D0">
              <w:rPr>
                <w:sz w:val="20"/>
                <w:szCs w:val="20"/>
              </w:rPr>
              <w:t>):</w:t>
            </w:r>
          </w:p>
          <w:p w:rsidR="00044790" w:rsidRPr="001D61D0" w:rsidRDefault="00044790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1D61D0" w:rsidRPr="00355179" w:rsidRDefault="00355179" w:rsidP="00CA20AD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memperolehi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fenomena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semulajadi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mengalakkan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menggunakan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kimia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untuk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menangani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cabaran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dunia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boleh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menyumbang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arah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pembangunan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HASIL PEMBELAJARAN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LEARNING OUTCOMES</w:t>
            </w:r>
            <w:r w:rsidRPr="001D61D0">
              <w:rPr>
                <w:sz w:val="20"/>
                <w:szCs w:val="20"/>
              </w:rPr>
              <w:t>):</w:t>
            </w:r>
          </w:p>
          <w:p w:rsidR="007C161B" w:rsidRPr="001D61D0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Default="009F7D82" w:rsidP="001D61D0">
            <w:pPr>
              <w:ind w:left="144"/>
              <w:jc w:val="both"/>
              <w:rPr>
                <w:sz w:val="20"/>
                <w:szCs w:val="20"/>
              </w:rPr>
            </w:pPr>
            <w:r w:rsidRPr="001D61D0">
              <w:rPr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855FC8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044790" w:rsidRPr="007863E9" w:rsidRDefault="007863E9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tindakbalas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(C2, PLO1)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790" w:rsidRPr="007863E9" w:rsidRDefault="007863E9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Menghuraikan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kehidupan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seharian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(P2, PLO2)</w:t>
                  </w:r>
                </w:p>
              </w:tc>
            </w:tr>
            <w:tr w:rsidR="00044790" w:rsidRPr="00855FC8" w:rsidTr="00044790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790" w:rsidRPr="007863E9" w:rsidRDefault="007863E9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Melaporkan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penyiasatan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saintifik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dalam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kehidupan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seharian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 (A3,PLO7)</w:t>
                  </w:r>
                </w:p>
              </w:tc>
            </w:tr>
          </w:tbl>
          <w:p w:rsidR="009F7D82" w:rsidRPr="001D61D0" w:rsidRDefault="009F7D82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Pr="001D61D0" w:rsidRDefault="009F7D82" w:rsidP="00855FC8">
            <w:pPr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rPr>
          <w:trHeight w:val="154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W w:w="9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85"/>
              <w:gridCol w:w="574"/>
              <w:gridCol w:w="597"/>
              <w:gridCol w:w="4342"/>
              <w:gridCol w:w="900"/>
              <w:gridCol w:w="1980"/>
            </w:tblGrid>
            <w:tr w:rsidR="00195DCB" w:rsidRPr="007A48B8" w:rsidTr="000B3033">
              <w:tc>
                <w:tcPr>
                  <w:tcW w:w="985" w:type="dxa"/>
                  <w:tcBorders>
                    <w:bottom w:val="single" w:sz="4" w:space="0" w:color="auto"/>
                  </w:tcBorders>
                </w:tcPr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MINGGU</w:t>
                  </w:r>
                </w:p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513" w:type="dxa"/>
                  <w:gridSpan w:val="3"/>
                  <w:tcBorders>
                    <w:bottom w:val="single" w:sz="4" w:space="0" w:color="auto"/>
                  </w:tcBorders>
                </w:tcPr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vAlign w:val="center"/>
                </w:tcPr>
                <w:p w:rsidR="00195DCB" w:rsidRPr="00CA20AD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A20AD"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1-3</w:t>
                  </w:r>
                </w:p>
              </w:tc>
              <w:tc>
                <w:tcPr>
                  <w:tcW w:w="574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4939" w:type="dxa"/>
                  <w:gridSpan w:val="2"/>
                  <w:tcBorders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STRUKTUR ATOM</w:t>
                  </w:r>
                </w:p>
              </w:tc>
              <w:tc>
                <w:tcPr>
                  <w:tcW w:w="900" w:type="dxa"/>
                  <w:tcBorders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  <w:lang w:val="en-CA"/>
                    </w:rPr>
                    <w:t>9</w:t>
                  </w:r>
                </w:p>
              </w:tc>
              <w:tc>
                <w:tcPr>
                  <w:tcW w:w="1980" w:type="dxa"/>
                  <w:vMerge w:val="restart"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195DCB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 and Final Examination</w:t>
                  </w: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Mensintesiskan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struktur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atom.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1.2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isotop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</w:t>
                  </w:r>
                  <w:bookmarkStart w:id="0" w:name="_GoBack"/>
                  <w:bookmarkEnd w:id="0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an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menilai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kepentingannya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1.3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konfigurasi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elektron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bagi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atom.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  <w:tcBorders>
                    <w:bottom w:val="nil"/>
                  </w:tcBorders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4-8</w:t>
                  </w:r>
                </w:p>
              </w:tc>
              <w:tc>
                <w:tcPr>
                  <w:tcW w:w="574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4939" w:type="dxa"/>
                  <w:gridSpan w:val="2"/>
                  <w:tcBorders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JADUAL BERKALA UNSUR</w:t>
                  </w:r>
                </w:p>
              </w:tc>
              <w:tc>
                <w:tcPr>
                  <w:tcW w:w="900" w:type="dxa"/>
                  <w:tcBorders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  <w:lang w:val="en-CA"/>
                    </w:rPr>
                    <w:t>14</w:t>
                  </w:r>
                </w:p>
              </w:tc>
              <w:tc>
                <w:tcPr>
                  <w:tcW w:w="1980" w:type="dxa"/>
                  <w:vMerge w:val="restart"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195DCB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Jadual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Berkala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 Kumpulan 18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2.3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Kumpulan 1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2.4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Kumpulan 17.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2.5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peralihan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  <w:tcBorders>
                    <w:bottom w:val="nil"/>
                  </w:tcBorders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9-14</w:t>
                  </w:r>
                </w:p>
              </w:tc>
              <w:tc>
                <w:tcPr>
                  <w:tcW w:w="574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4939" w:type="dxa"/>
                  <w:gridSpan w:val="2"/>
                  <w:tcBorders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KADAR TINDAK BALAS</w:t>
                  </w:r>
                </w:p>
              </w:tc>
              <w:tc>
                <w:tcPr>
                  <w:tcW w:w="900" w:type="dxa"/>
                  <w:tcBorders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  <w:r w:rsidRPr="00CA20AD">
                    <w:rPr>
                      <w:rFonts w:cs="Arial"/>
                      <w:sz w:val="20"/>
                      <w:szCs w:val="20"/>
                      <w:lang w:val="en-CA"/>
                    </w:rPr>
                    <w:t>19</w:t>
                  </w:r>
                </w:p>
              </w:tc>
              <w:tc>
                <w:tcPr>
                  <w:tcW w:w="1980" w:type="dxa"/>
                  <w:vMerge w:val="restart"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195DCB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195DCB" w:rsidRPr="007A48B8" w:rsidTr="000B3033">
              <w:trPr>
                <w:trHeight w:val="384"/>
              </w:trPr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spacing w:before="12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kadar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tindak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balas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900E0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faktor-faktor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yang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mempengaruhi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kadar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tindak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balas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900E0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3.3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195DCB" w:rsidRPr="00794412" w:rsidRDefault="00195DCB" w:rsidP="000B3033">
                  <w:pPr>
                    <w:pStyle w:val="Default"/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Mensintesiskan</w:t>
                  </w:r>
                  <w:proofErr w:type="spellEnd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 xml:space="preserve"> idea </w:t>
                  </w: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tentang</w:t>
                  </w:r>
                  <w:proofErr w:type="spellEnd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teori</w:t>
                  </w:r>
                  <w:proofErr w:type="spellEnd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perlanggaran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single" w:sz="4" w:space="0" w:color="auto"/>
                  </w:tcBorders>
                </w:tcPr>
                <w:p w:rsidR="00195DCB" w:rsidRPr="00CA20AD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  <w:tcBorders>
                    <w:bottom w:val="single" w:sz="4" w:space="0" w:color="auto"/>
                  </w:tcBorders>
                </w:tcPr>
                <w:p w:rsidR="00195DCB" w:rsidRPr="00900E0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Pr="009D755A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36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601121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a. </w:t>
                  </w:r>
                  <w:proofErr w:type="spellStart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  <w:p w:rsidR="0056493F" w:rsidRPr="00601121" w:rsidRDefault="0056493F" w:rsidP="00195DCB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b. </w:t>
                  </w:r>
                  <w:proofErr w:type="spellStart"/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Amali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 xml:space="preserve">60 </w:t>
                  </w:r>
                  <w:r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9D755A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Peperiksaan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Akhir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Final Examination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 xml:space="preserve">100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1.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Kertas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penerangan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Modul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B6329">
              <w:rPr>
                <w:rFonts w:asciiTheme="majorHAnsi" w:hAnsiTheme="majorHAnsi"/>
                <w:sz w:val="20"/>
                <w:szCs w:val="20"/>
                <w:lang w:val="en-CA"/>
              </w:rPr>
              <w:t>Teknologi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BPTV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2.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Kamus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istilah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r w:rsidR="00CB6329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B6329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B6329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Kimia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KBSM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3. KBSM.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Kmia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4.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Chemistry  for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Pra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Universiti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Longman</w:t>
            </w:r>
          </w:p>
          <w:p w:rsidR="001D61D0" w:rsidRPr="001D61D0" w:rsidRDefault="001D61D0" w:rsidP="00C77A01">
            <w:pPr>
              <w:pStyle w:val="NoSpacing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127" w:rsidRDefault="00C42127" w:rsidP="006871BF">
      <w:r>
        <w:separator/>
      </w:r>
    </w:p>
  </w:endnote>
  <w:endnote w:type="continuationSeparator" w:id="0">
    <w:p w:rsidR="00C42127" w:rsidRDefault="00C42127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17"/>
      <w:gridCol w:w="42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77A01" w:rsidP="00CA20AD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WS</w:t>
          </w:r>
          <w:r w:rsidR="00CA20AD">
            <w:rPr>
              <w:rFonts w:ascii="Arial" w:hAnsi="Arial" w:cs="Arial"/>
              <w:b/>
              <w:sz w:val="18"/>
              <w:szCs w:val="18"/>
            </w:rPr>
            <w:t>T</w:t>
          </w:r>
          <w:r w:rsidR="00C623D8">
            <w:rPr>
              <w:rFonts w:ascii="Arial" w:hAnsi="Arial" w:cs="Arial"/>
              <w:b/>
              <w:sz w:val="18"/>
              <w:szCs w:val="18"/>
            </w:rPr>
            <w:t>503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236349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052439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127" w:rsidRDefault="00C42127" w:rsidP="006871BF">
      <w:r>
        <w:separator/>
      </w:r>
    </w:p>
  </w:footnote>
  <w:footnote w:type="continuationSeparator" w:id="0">
    <w:p w:rsidR="00C42127" w:rsidRDefault="00C42127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52439"/>
    <w:rsid w:val="0006580C"/>
    <w:rsid w:val="00095D68"/>
    <w:rsid w:val="000A35D8"/>
    <w:rsid w:val="000C1717"/>
    <w:rsid w:val="000C1F4B"/>
    <w:rsid w:val="000C6BFE"/>
    <w:rsid w:val="0010746C"/>
    <w:rsid w:val="001818A9"/>
    <w:rsid w:val="00190B3A"/>
    <w:rsid w:val="00195DCB"/>
    <w:rsid w:val="001B2AD2"/>
    <w:rsid w:val="001C17DD"/>
    <w:rsid w:val="001D61D0"/>
    <w:rsid w:val="001F73EF"/>
    <w:rsid w:val="00206E8C"/>
    <w:rsid w:val="002110E8"/>
    <w:rsid w:val="002131BD"/>
    <w:rsid w:val="00236349"/>
    <w:rsid w:val="002B710E"/>
    <w:rsid w:val="002D144D"/>
    <w:rsid w:val="0032001C"/>
    <w:rsid w:val="0034520A"/>
    <w:rsid w:val="003530A9"/>
    <w:rsid w:val="00355179"/>
    <w:rsid w:val="00356285"/>
    <w:rsid w:val="003665A7"/>
    <w:rsid w:val="00372FAC"/>
    <w:rsid w:val="00373F71"/>
    <w:rsid w:val="00374725"/>
    <w:rsid w:val="003947E8"/>
    <w:rsid w:val="003972C7"/>
    <w:rsid w:val="003A5A08"/>
    <w:rsid w:val="00415FB8"/>
    <w:rsid w:val="00417CF9"/>
    <w:rsid w:val="00432ED9"/>
    <w:rsid w:val="00473BE7"/>
    <w:rsid w:val="00497404"/>
    <w:rsid w:val="004C5718"/>
    <w:rsid w:val="004D16D5"/>
    <w:rsid w:val="00504EF1"/>
    <w:rsid w:val="00506F5C"/>
    <w:rsid w:val="0056493F"/>
    <w:rsid w:val="005652F8"/>
    <w:rsid w:val="00566019"/>
    <w:rsid w:val="005A7BB7"/>
    <w:rsid w:val="005B4785"/>
    <w:rsid w:val="005D25D2"/>
    <w:rsid w:val="005D4F23"/>
    <w:rsid w:val="00624A73"/>
    <w:rsid w:val="00641564"/>
    <w:rsid w:val="00680B60"/>
    <w:rsid w:val="00683ADC"/>
    <w:rsid w:val="0068404C"/>
    <w:rsid w:val="006843F7"/>
    <w:rsid w:val="006871BF"/>
    <w:rsid w:val="00696FFB"/>
    <w:rsid w:val="00697803"/>
    <w:rsid w:val="006A28D6"/>
    <w:rsid w:val="006B0648"/>
    <w:rsid w:val="006B295B"/>
    <w:rsid w:val="006D0A94"/>
    <w:rsid w:val="006D3952"/>
    <w:rsid w:val="006E37EE"/>
    <w:rsid w:val="0070488B"/>
    <w:rsid w:val="00727BAB"/>
    <w:rsid w:val="00774595"/>
    <w:rsid w:val="0077562D"/>
    <w:rsid w:val="007863E9"/>
    <w:rsid w:val="0079148B"/>
    <w:rsid w:val="007C161B"/>
    <w:rsid w:val="007C4402"/>
    <w:rsid w:val="007D49DB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0700"/>
    <w:rsid w:val="008A74A3"/>
    <w:rsid w:val="008A7B89"/>
    <w:rsid w:val="008C370D"/>
    <w:rsid w:val="00900959"/>
    <w:rsid w:val="009031DC"/>
    <w:rsid w:val="00905089"/>
    <w:rsid w:val="00927EED"/>
    <w:rsid w:val="00971105"/>
    <w:rsid w:val="00990662"/>
    <w:rsid w:val="009958CA"/>
    <w:rsid w:val="009D0DE8"/>
    <w:rsid w:val="009D668C"/>
    <w:rsid w:val="009D755A"/>
    <w:rsid w:val="009E28F1"/>
    <w:rsid w:val="009F7D82"/>
    <w:rsid w:val="00A02973"/>
    <w:rsid w:val="00A30F7A"/>
    <w:rsid w:val="00A34893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55412"/>
    <w:rsid w:val="00B8532E"/>
    <w:rsid w:val="00B923C3"/>
    <w:rsid w:val="00BA3A4F"/>
    <w:rsid w:val="00BB277E"/>
    <w:rsid w:val="00BD488F"/>
    <w:rsid w:val="00BD74A4"/>
    <w:rsid w:val="00C00C4F"/>
    <w:rsid w:val="00C122AC"/>
    <w:rsid w:val="00C33B88"/>
    <w:rsid w:val="00C33FB8"/>
    <w:rsid w:val="00C42127"/>
    <w:rsid w:val="00C434B0"/>
    <w:rsid w:val="00C52A10"/>
    <w:rsid w:val="00C623D8"/>
    <w:rsid w:val="00C706F3"/>
    <w:rsid w:val="00C77A01"/>
    <w:rsid w:val="00C81D35"/>
    <w:rsid w:val="00C969FE"/>
    <w:rsid w:val="00CA20AD"/>
    <w:rsid w:val="00CA5886"/>
    <w:rsid w:val="00CB6329"/>
    <w:rsid w:val="00CD62BC"/>
    <w:rsid w:val="00CF1B9E"/>
    <w:rsid w:val="00CF75BD"/>
    <w:rsid w:val="00D2444A"/>
    <w:rsid w:val="00D25034"/>
    <w:rsid w:val="00D34340"/>
    <w:rsid w:val="00D41B8E"/>
    <w:rsid w:val="00D434DB"/>
    <w:rsid w:val="00D65A2F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8446C"/>
    <w:rsid w:val="00EC36C1"/>
    <w:rsid w:val="00EF192F"/>
    <w:rsid w:val="00F018F5"/>
    <w:rsid w:val="00F166BF"/>
    <w:rsid w:val="00F21461"/>
    <w:rsid w:val="00F33E58"/>
    <w:rsid w:val="00F573D9"/>
    <w:rsid w:val="00F62B7B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266E9-5DB4-46A6-BBFD-E174BBE5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4</cp:revision>
  <cp:lastPrinted>2015-06-11T05:46:00Z</cp:lastPrinted>
  <dcterms:created xsi:type="dcterms:W3CDTF">2015-11-02T05:54:00Z</dcterms:created>
  <dcterms:modified xsi:type="dcterms:W3CDTF">2015-11-27T02:30:00Z</dcterms:modified>
</cp:coreProperties>
</file>