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A4BF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4A4BF7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4A4BF7">
                    <w:rPr>
                      <w:b/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/</w:t>
                  </w:r>
                  <w:r w:rsidRPr="004A4BF7">
                    <w:rPr>
                      <w:b/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A4BF7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A4BF7" w:rsidRDefault="00566019" w:rsidP="003D715B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SEMESTER</w:t>
                  </w:r>
                  <w:r w:rsidR="003D715B" w:rsidRPr="004A4BF7">
                    <w:rPr>
                      <w:b/>
                      <w:sz w:val="20"/>
                      <w:szCs w:val="20"/>
                      <w:lang w:val="fr-FR"/>
                    </w:rPr>
                    <w:t xml:space="preserve"> PENDEK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A4BF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4A4BF7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4A4BF7">
                    <w:rPr>
                      <w:b/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4A4BF7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A4BF7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A4BF7" w:rsidRDefault="00131B30" w:rsidP="00C507AC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 xml:space="preserve">WKK </w:t>
                  </w:r>
                  <w:r w:rsidR="00C507AC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6052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A4BF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4A4BF7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4A4BF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A4BF7">
                    <w:rPr>
                      <w:b/>
                      <w:sz w:val="20"/>
                      <w:szCs w:val="20"/>
                    </w:rPr>
                    <w:t>(</w:t>
                  </w:r>
                  <w:r w:rsidRPr="004A4BF7">
                    <w:rPr>
                      <w:b/>
                      <w:i/>
                      <w:sz w:val="20"/>
                      <w:szCs w:val="20"/>
                    </w:rPr>
                    <w:t>NAME OF</w:t>
                  </w:r>
                  <w:r w:rsidRPr="004A4BF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A4BF7">
                    <w:rPr>
                      <w:b/>
                      <w:i/>
                      <w:sz w:val="20"/>
                      <w:szCs w:val="20"/>
                    </w:rPr>
                    <w:t>COURSE</w:t>
                  </w:r>
                  <w:r w:rsidRPr="004A4BF7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A4BF7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A4BF7" w:rsidRDefault="007C17F2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KOKURIKULUM</w:t>
                  </w:r>
                  <w:r w:rsidR="00662F1B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 xml:space="preserve"> (JATIDIRI)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4A4BF7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4A4BF7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4A4BF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4A4BF7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r w:rsidRPr="004A4BF7">
                    <w:rPr>
                      <w:b/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4A4BF7">
                    <w:rPr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4A4BF7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4A4BF7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4A4BF7" w:rsidRPr="009D755A" w:rsidTr="004A4BF7">
              <w:tc>
                <w:tcPr>
                  <w:tcW w:w="2520" w:type="dxa"/>
                  <w:shd w:val="clear" w:color="auto" w:fill="auto"/>
                </w:tcPr>
                <w:p w:rsidR="004A4BF7" w:rsidRPr="009D755A" w:rsidRDefault="004A4BF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4A4BF7" w:rsidRPr="009D755A" w:rsidRDefault="004A4BF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A4BF7" w:rsidRPr="009D755A" w:rsidRDefault="004A4BF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4A4BF7" w:rsidRPr="009D755A" w:rsidRDefault="004A4BF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4A4BF7" w:rsidRPr="009D755A" w:rsidRDefault="004A4BF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4A4BF7" w:rsidRPr="009D755A" w:rsidRDefault="004A4BF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24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26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24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4A4BF7" w:rsidRPr="009D755A" w:rsidTr="004A4BF7">
              <w:tc>
                <w:tcPr>
                  <w:tcW w:w="2520" w:type="dxa"/>
                  <w:vMerge/>
                  <w:shd w:val="clear" w:color="auto" w:fill="auto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4A4BF7" w:rsidRPr="009D755A" w:rsidRDefault="004A4BF7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837A4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A4B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A4BF7" w:rsidRPr="009D755A" w:rsidTr="004A4BF7">
              <w:tc>
                <w:tcPr>
                  <w:tcW w:w="7020" w:type="dxa"/>
                  <w:gridSpan w:val="2"/>
                  <w:shd w:val="clear" w:color="auto" w:fill="auto"/>
                </w:tcPr>
                <w:p w:rsidR="004A4BF7" w:rsidRPr="009D755A" w:rsidRDefault="004A4BF7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4A4BF7" w:rsidRPr="009D755A" w:rsidRDefault="004A4BF7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4A4BF7" w:rsidRDefault="004A4BF7" w:rsidP="0079148B">
                  <w:pPr>
                    <w:rPr>
                      <w:b/>
                      <w:sz w:val="20"/>
                      <w:szCs w:val="20"/>
                    </w:rPr>
                  </w:pPr>
                  <w:r w:rsidRPr="004A4BF7"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4A4BF7" w:rsidRPr="009D755A" w:rsidTr="004A4BF7">
              <w:tc>
                <w:tcPr>
                  <w:tcW w:w="7020" w:type="dxa"/>
                  <w:gridSpan w:val="2"/>
                  <w:shd w:val="clear" w:color="auto" w:fill="auto"/>
                </w:tcPr>
                <w:p w:rsidR="004A4BF7" w:rsidRPr="009D755A" w:rsidRDefault="004A4BF7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4A4BF7" w:rsidRPr="009D755A" w:rsidRDefault="004A4BF7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A4BF7" w:rsidRPr="009D755A" w:rsidRDefault="004A4BF7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7D710D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7D710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7D710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(</w:t>
            </w:r>
            <w:r w:rsidRPr="007D710D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7D710D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131B30" w:rsidRPr="007D710D" w:rsidRDefault="00131B30" w:rsidP="004A4BF7">
            <w:pPr>
              <w:ind w:left="144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Modul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ini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bertujuan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melahirkan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modal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insan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yang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dapat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berfungsi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pada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tahap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yang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terbaik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sebagai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seorang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individu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juga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ahli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masyarakat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Menumpukan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D710D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komponen</w:t>
            </w:r>
            <w:proofErr w:type="spellEnd"/>
            <w:proofErr w:type="gram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mengamalkan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nilai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murni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diri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mengamalkan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nilai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murni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hubungan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sesama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manusia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Ia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juga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sz w:val="20"/>
                <w:szCs w:val="20"/>
              </w:rPr>
              <w:t>bertujuan</w:t>
            </w:r>
            <w:proofErr w:type="spellEnd"/>
            <w:r w:rsidRPr="007D710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menyemarakkan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semangat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patriotisme</w:t>
            </w:r>
            <w:proofErr w:type="spellEnd"/>
            <w:proofErr w:type="gram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jati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diri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memupuk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perpaduan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kaum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serta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integrasi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nasional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dan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menimbulkan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keprihatinan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untuk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berjasa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kepada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masyarakat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dan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menanam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semangat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kesukarelawan</w:t>
            </w:r>
            <w:proofErr w:type="spellEnd"/>
            <w:r w:rsidRPr="007D710D">
              <w:rPr>
                <w:rFonts w:asciiTheme="majorHAnsi" w:hAnsiTheme="majorHAnsi" w:cs="Arial"/>
                <w:color w:val="000000"/>
                <w:sz w:val="20"/>
                <w:szCs w:val="20"/>
              </w:rPr>
              <w:t>.</w:t>
            </w:r>
          </w:p>
          <w:p w:rsidR="00855FC8" w:rsidRPr="007D710D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044790" w:rsidRPr="007D710D" w:rsidRDefault="007C161B" w:rsidP="007D710D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7D710D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7D710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(</w:t>
            </w:r>
            <w:r w:rsidRPr="007D710D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1D61D0" w:rsidRPr="007D710D" w:rsidRDefault="00131B30" w:rsidP="004A4BF7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Nilai-nilai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murni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semangat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jati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diri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yang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semakin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hilang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dalam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diri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para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pelajar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sekarang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menyebabkan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modul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Jati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Diri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ini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diperkenalkan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Modul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ini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bertujuan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untuk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melahirkan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pelajar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yang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megamalkan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nilai-nilai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murni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dalam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kehidupan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seharian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serta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memiliki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kemahiran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interpersonal. Di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samping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itu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modul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ini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juga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akan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dapat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meningkatkan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semangat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cintakan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negara</w:t>
            </w:r>
            <w:proofErr w:type="spellEnd"/>
            <w:r w:rsidRPr="007D710D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7D710D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7D710D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7D710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(</w:t>
            </w:r>
            <w:r w:rsidRPr="007D710D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7D710D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7D710D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7D710D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D710D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7D710D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D710D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131B30" w:rsidRPr="007D710D" w:rsidRDefault="00131B30" w:rsidP="00131B30">
                  <w:pPr>
                    <w:jc w:val="both"/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Menerangkan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kepentingan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semangat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jati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diri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sebagai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seorang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warganegara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.</w:t>
                  </w:r>
                  <w:bookmarkStart w:id="0" w:name="_GoBack"/>
                  <w:bookmarkEnd w:id="0"/>
                </w:p>
                <w:p w:rsidR="00044790" w:rsidRPr="007D710D" w:rsidRDefault="00131B30" w:rsidP="00131B30">
                  <w:pPr>
                    <w:jc w:val="both"/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(C2, PLO6)</w:t>
                  </w:r>
                </w:p>
              </w:tc>
            </w:tr>
            <w:tr w:rsidR="00044790" w:rsidRPr="007D710D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D710D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7D710D" w:rsidRDefault="00131B30" w:rsidP="00131B30">
                  <w:pPr>
                    <w:jc w:val="both"/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Menunjukkan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kemahiran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interpersonal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sesebuah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organisasi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. (P2, PLO5)</w:t>
                  </w:r>
                </w:p>
              </w:tc>
            </w:tr>
            <w:tr w:rsidR="00044790" w:rsidRPr="007D710D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D710D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7D710D" w:rsidRDefault="00131B30" w:rsidP="00131B30">
                  <w:pPr>
                    <w:jc w:val="both"/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Mengamalkan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nilai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murni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sebagai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seorang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pelajar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mithali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  <w:t>. ( A3, PLO7)</w:t>
                  </w:r>
                </w:p>
              </w:tc>
            </w:tr>
            <w:tr w:rsidR="00EB1BBF" w:rsidRPr="007D710D" w:rsidTr="00044790">
              <w:trPr>
                <w:trHeight w:val="288"/>
              </w:trPr>
              <w:tc>
                <w:tcPr>
                  <w:tcW w:w="522" w:type="dxa"/>
                </w:tcPr>
                <w:p w:rsidR="00EB1BBF" w:rsidRPr="007D710D" w:rsidRDefault="00EB1BBF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98" w:type="dxa"/>
                </w:tcPr>
                <w:p w:rsidR="00EB1BBF" w:rsidRPr="007D710D" w:rsidRDefault="00EB1BBF" w:rsidP="00131B30">
                  <w:pPr>
                    <w:jc w:val="both"/>
                    <w:rPr>
                      <w:rFonts w:asciiTheme="majorHAnsi" w:hAnsiTheme="majorHAnsi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9F7D82" w:rsidRPr="007D710D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4A4BF7">
        <w:trPr>
          <w:trHeight w:val="235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9774" w:type="dxa"/>
              <w:tblInd w:w="1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4"/>
              <w:gridCol w:w="625"/>
              <w:gridCol w:w="5465"/>
              <w:gridCol w:w="724"/>
              <w:gridCol w:w="1916"/>
            </w:tblGrid>
            <w:tr w:rsidR="00855FC8" w:rsidRPr="007D710D" w:rsidTr="007D710D">
              <w:tc>
                <w:tcPr>
                  <w:tcW w:w="104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55FC8" w:rsidRPr="007D710D" w:rsidRDefault="00855FC8" w:rsidP="007D710D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MINGGU</w:t>
                  </w:r>
                </w:p>
                <w:p w:rsidR="00855FC8" w:rsidRPr="007D710D" w:rsidRDefault="00855FC8" w:rsidP="007D710D">
                  <w:pPr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7D710D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WEEK</w:t>
                  </w: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090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855FC8" w:rsidRPr="007D710D" w:rsidRDefault="00855FC8" w:rsidP="007D710D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KANDUNGAN</w:t>
                  </w:r>
                </w:p>
                <w:p w:rsidR="00855FC8" w:rsidRPr="007D710D" w:rsidRDefault="00855FC8" w:rsidP="007D710D">
                  <w:pPr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7D710D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CONTENT</w:t>
                  </w: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4" w:type="dxa"/>
                  <w:tcBorders>
                    <w:bottom w:val="single" w:sz="4" w:space="0" w:color="auto"/>
                  </w:tcBorders>
                  <w:vAlign w:val="center"/>
                </w:tcPr>
                <w:p w:rsidR="00855FC8" w:rsidRPr="007D710D" w:rsidRDefault="00855FC8" w:rsidP="003D715B">
                  <w:pPr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91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55FC8" w:rsidRPr="007D710D" w:rsidRDefault="00855FC8" w:rsidP="007D710D">
                  <w:pPr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855FC8" w:rsidRPr="007D710D" w:rsidRDefault="00855FC8" w:rsidP="007D710D">
                  <w:pPr>
                    <w:jc w:val="left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7D710D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ASSESSMENT</w:t>
                  </w: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7D710D" w:rsidRPr="007D710D" w:rsidTr="00F270A6">
              <w:tc>
                <w:tcPr>
                  <w:tcW w:w="1044" w:type="dxa"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  <w:tc>
                <w:tcPr>
                  <w:tcW w:w="6090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Membina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Hubungan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&amp;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Konsep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Kendiri</w:t>
                  </w:r>
                  <w:proofErr w:type="spellEnd"/>
                </w:p>
              </w:tc>
              <w:tc>
                <w:tcPr>
                  <w:tcW w:w="724" w:type="dxa"/>
                  <w:vMerge w:val="restart"/>
                  <w:vAlign w:val="center"/>
                </w:tcPr>
                <w:p w:rsidR="007D710D" w:rsidRPr="007D710D" w:rsidRDefault="00D35B15" w:rsidP="00EB1BB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16" w:type="dxa"/>
                  <w:vMerge w:val="restart"/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131B30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30" w:rsidRPr="007D710D" w:rsidRDefault="00131B30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31B30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theme="majorBidi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theme="majorBidi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131B30" w:rsidRPr="007D710D" w:rsidRDefault="00131B30" w:rsidP="003D715B">
                  <w:pPr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kepentingan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membina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hubungan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 xml:space="preserve"> &amp;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>Konsep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>Kendiri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24" w:type="dxa"/>
                  <w:vMerge/>
                  <w:vAlign w:val="center"/>
                </w:tcPr>
                <w:p w:rsidR="00131B30" w:rsidRPr="007D710D" w:rsidRDefault="00131B30" w:rsidP="00EB1BBF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shd w:val="clear" w:color="auto" w:fill="auto"/>
                  <w:vAlign w:val="center"/>
                </w:tcPr>
                <w:p w:rsidR="00131B30" w:rsidRPr="007D710D" w:rsidRDefault="00131B3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31B30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30" w:rsidRPr="007D710D" w:rsidRDefault="00131B30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31B30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theme="majorBidi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theme="majorBidi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131B30" w:rsidRPr="007D710D" w:rsidRDefault="00131B3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kepentingan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interpersonal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  <w:p w:rsidR="00131B30" w:rsidRPr="007D710D" w:rsidRDefault="00131B3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melaksanakan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sesuatu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projek</w:t>
                  </w:r>
                  <w:proofErr w:type="spellEnd"/>
                </w:p>
              </w:tc>
              <w:tc>
                <w:tcPr>
                  <w:tcW w:w="724" w:type="dxa"/>
                  <w:vMerge/>
                  <w:tcBorders>
                    <w:bottom w:val="nil"/>
                  </w:tcBorders>
                  <w:vAlign w:val="center"/>
                </w:tcPr>
                <w:p w:rsidR="00131B30" w:rsidRPr="007D710D" w:rsidRDefault="00131B30" w:rsidP="00EB1BBF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1B30" w:rsidRPr="007D710D" w:rsidRDefault="00131B3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FF2A95">
              <w:tc>
                <w:tcPr>
                  <w:tcW w:w="10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6090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Keperibadian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Unggul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Nilai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Jujur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 xml:space="preserve"> &amp;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Amanah</w:t>
                  </w:r>
                  <w:proofErr w:type="spellEnd"/>
                </w:p>
              </w:tc>
              <w:tc>
                <w:tcPr>
                  <w:tcW w:w="724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7D710D" w:rsidRPr="007D710D" w:rsidRDefault="00D35B15" w:rsidP="00EB1BB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1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44790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4790" w:rsidRPr="007D710D" w:rsidRDefault="00044790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44790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D715B" w:rsidRPr="007D710D" w:rsidRDefault="003D715B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kepentingan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mempunyai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nilai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nilai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murni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  <w:p w:rsidR="00044790" w:rsidRPr="007D710D" w:rsidRDefault="003D715B" w:rsidP="003D715B">
                  <w:pPr>
                    <w:pStyle w:val="NoSpacing"/>
                    <w:rPr>
                      <w:rFonts w:asciiTheme="majorHAnsi" w:hAnsiTheme="majorHAnsi" w:cstheme="majorBidi"/>
                      <w:sz w:val="20"/>
                      <w:szCs w:val="20"/>
                    </w:rPr>
                  </w:pPr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membentuk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peribadi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unggul</w:t>
                  </w:r>
                  <w:proofErr w:type="spellEnd"/>
                </w:p>
              </w:tc>
              <w:tc>
                <w:tcPr>
                  <w:tcW w:w="724" w:type="dxa"/>
                  <w:vMerge/>
                  <w:vAlign w:val="center"/>
                </w:tcPr>
                <w:p w:rsidR="00044790" w:rsidRPr="007D710D" w:rsidRDefault="00044790" w:rsidP="00EB1BBF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shd w:val="clear" w:color="auto" w:fill="auto"/>
                  <w:vAlign w:val="center"/>
                </w:tcPr>
                <w:p w:rsidR="00044790" w:rsidRPr="007D710D" w:rsidRDefault="0004479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44790" w:rsidRPr="007D710D" w:rsidTr="007D710D">
              <w:tc>
                <w:tcPr>
                  <w:tcW w:w="10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4790" w:rsidRPr="007D710D" w:rsidRDefault="00044790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44790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44790" w:rsidRPr="007D710D" w:rsidRDefault="003D715B" w:rsidP="003D715B">
                  <w:pPr>
                    <w:pStyle w:val="NoSpacing"/>
                    <w:rPr>
                      <w:rFonts w:asciiTheme="majorHAnsi" w:hAnsiTheme="majorHAnsi" w:cstheme="majorBidi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nilai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jujur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amanah</w:t>
                  </w:r>
                  <w:proofErr w:type="spellEnd"/>
                </w:p>
              </w:tc>
              <w:tc>
                <w:tcPr>
                  <w:tcW w:w="724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044790" w:rsidRPr="007D710D" w:rsidRDefault="00044790" w:rsidP="00EB1BBF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44790" w:rsidRPr="007D710D" w:rsidRDefault="00044790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</w:p>
              </w:tc>
              <w:tc>
                <w:tcPr>
                  <w:tcW w:w="60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pStyle w:val="NoSpacing"/>
                    <w:rPr>
                      <w:rFonts w:asciiTheme="majorHAnsi" w:hAnsiTheme="majorHAnsi" w:cstheme="majorBidi"/>
                      <w:b/>
                      <w:sz w:val="20"/>
                      <w:szCs w:val="20"/>
                      <w:lang w:val="fr-CD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Negara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D35B15" w:rsidP="00EB1BB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ancaman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kesan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terhadap</w:t>
                  </w:r>
                  <w:proofErr w:type="spellEnd"/>
                  <w:proofErr w:type="gram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pembangunan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Negara.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Mengetahui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cabaran-cabaran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merupakan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peluang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untuk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negara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Mengetahui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kepentingan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untuk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sentiasa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berwaspada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</w:p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secara</w:t>
                  </w:r>
                  <w:proofErr w:type="spellEnd"/>
                  <w:proofErr w:type="gram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berterusan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menghadapi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terhadap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Negara.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3.4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Konsep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Perpaduan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  <w:p w:rsidR="007D710D" w:rsidRPr="007D710D" w:rsidRDefault="007D710D" w:rsidP="007D710D">
                  <w:pPr>
                    <w:jc w:val="both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Perpaduan</w:t>
                  </w:r>
                  <w:proofErr w:type="spellEnd"/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3.5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Menjelaskan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dasar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penyatuan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</w:p>
                <w:p w:rsidR="007D710D" w:rsidRPr="007D710D" w:rsidRDefault="007D710D" w:rsidP="007D710D">
                  <w:pPr>
                    <w:jc w:val="both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proofErr w:type="gram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pembangunan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bangsa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6090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Luar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Negara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7D710D" w:rsidRPr="007D710D" w:rsidRDefault="00D35B15" w:rsidP="00EB1BBF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7</w:t>
                  </w:r>
                </w:p>
              </w:tc>
              <w:tc>
                <w:tcPr>
                  <w:tcW w:w="191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D710D" w:rsidRPr="007D710D" w:rsidRDefault="007D710D" w:rsidP="003D715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4.1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jc w:val="both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luar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negara</w:t>
                  </w:r>
                  <w:proofErr w:type="spellEnd"/>
                </w:p>
              </w:tc>
              <w:tc>
                <w:tcPr>
                  <w:tcW w:w="724" w:type="dxa"/>
                  <w:vMerge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7D710D" w:rsidRPr="007D710D" w:rsidTr="007D710D">
              <w:tc>
                <w:tcPr>
                  <w:tcW w:w="10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D710D" w:rsidRPr="007D710D" w:rsidRDefault="007D710D" w:rsidP="007D710D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4.2</w:t>
                  </w:r>
                </w:p>
              </w:tc>
              <w:tc>
                <w:tcPr>
                  <w:tcW w:w="5465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D710D" w:rsidRPr="007D710D" w:rsidRDefault="007D710D" w:rsidP="007D710D">
                  <w:pPr>
                    <w:jc w:val="both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strategi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menghadapi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luar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negara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terhadap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pembinaan</w:t>
                  </w:r>
                  <w:proofErr w:type="spellEnd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7D710D">
                    <w:rPr>
                      <w:rFonts w:asciiTheme="majorHAnsi" w:hAnsiTheme="majorHAnsi" w:cs="Arial"/>
                      <w:sz w:val="20"/>
                      <w:szCs w:val="20"/>
                    </w:rPr>
                    <w:t>Bangsa</w:t>
                  </w:r>
                  <w:proofErr w:type="spellEnd"/>
                </w:p>
                <w:p w:rsidR="007D710D" w:rsidRPr="007D710D" w:rsidRDefault="007D710D" w:rsidP="007D710D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16" w:type="dxa"/>
                  <w:vMerge/>
                  <w:shd w:val="clear" w:color="auto" w:fill="auto"/>
                  <w:vAlign w:val="center"/>
                </w:tcPr>
                <w:p w:rsidR="007D710D" w:rsidRPr="007D710D" w:rsidRDefault="007D710D" w:rsidP="003D715B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927EED" w:rsidRPr="00855FC8" w:rsidRDefault="00927EED" w:rsidP="009D755A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33B88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  <w:tbl>
            <w:tblPr>
              <w:tblStyle w:val="TableGrid"/>
              <w:tblW w:w="8981" w:type="dxa"/>
              <w:tblLayout w:type="fixed"/>
              <w:tblLook w:val="01E0"/>
            </w:tblPr>
            <w:tblGrid>
              <w:gridCol w:w="748"/>
              <w:gridCol w:w="606"/>
              <w:gridCol w:w="6399"/>
              <w:gridCol w:w="1228"/>
            </w:tblGrid>
            <w:tr w:rsidR="00EB1BBF" w:rsidRPr="00EB1BBF" w:rsidTr="00EB1BBF"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B1BBF" w:rsidRPr="00EB1BBF" w:rsidRDefault="00EB1BBF" w:rsidP="00837A41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lastRenderedPageBreak/>
                    <w:t>Non Face</w:t>
                  </w:r>
                </w:p>
                <w:p w:rsidR="00EB1BBF" w:rsidRPr="00EB1BBF" w:rsidRDefault="00EB1BBF" w:rsidP="00837A41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To</w:t>
                  </w:r>
                </w:p>
                <w:p w:rsidR="00EB1BBF" w:rsidRPr="00EB1BBF" w:rsidRDefault="00EB1BBF" w:rsidP="00837A41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Face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B1BBF" w:rsidRPr="00EB1BBF" w:rsidRDefault="00EB1BBF" w:rsidP="00837A41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6399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EB1BBF" w:rsidRPr="00EB1BBF" w:rsidRDefault="00EB1BBF" w:rsidP="00EB1BBF">
                  <w:pPr>
                    <w:spacing w:before="120" w:after="12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proofErr w:type="spellStart"/>
                  <w:r w:rsidRPr="00EB1BBF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Kemahiran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 xml:space="preserve"> Interpersonal</w:t>
                  </w:r>
                </w:p>
                <w:p w:rsidR="00EB1BBF" w:rsidRPr="00EB1BBF" w:rsidRDefault="00EB1BBF" w:rsidP="00EB1BBF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3.1 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nilai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bertanggungjawab</w:t>
                  </w:r>
                  <w:proofErr w:type="spellEnd"/>
                </w:p>
                <w:p w:rsidR="00EB1BBF" w:rsidRPr="00EB1BBF" w:rsidRDefault="00EB1BBF" w:rsidP="00EB1BBF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3.2 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Komunikasi</w:t>
                  </w:r>
                  <w:proofErr w:type="spellEnd"/>
                </w:p>
                <w:p w:rsidR="00EB1BBF" w:rsidRPr="00EB1BBF" w:rsidRDefault="00EB1BBF" w:rsidP="00EB1BBF">
                  <w:pPr>
                    <w:pStyle w:val="ListParagraph"/>
                    <w:numPr>
                      <w:ilvl w:val="1"/>
                      <w:numId w:val="14"/>
                    </w:num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Penyelesaian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Masalah</w:t>
                  </w:r>
                  <w:proofErr w:type="spellEnd"/>
                </w:p>
                <w:p w:rsidR="00EB1BBF" w:rsidRPr="00EB1BBF" w:rsidRDefault="00EB1BBF" w:rsidP="00EB1BBF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3.4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Konsep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Keterbukaan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Perhubungan</w:t>
                  </w:r>
                  <w:proofErr w:type="spellEnd"/>
                </w:p>
                <w:p w:rsidR="00EB1BBF" w:rsidRPr="00EB1BBF" w:rsidRDefault="00EB1BBF" w:rsidP="00EB1BBF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3.5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Kemahiran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Kerja</w:t>
                  </w:r>
                  <w:proofErr w:type="spellEnd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B1BBF">
                    <w:rPr>
                      <w:rFonts w:asciiTheme="majorHAnsi" w:hAnsiTheme="majorHAnsi" w:cs="Arial"/>
                      <w:sz w:val="20"/>
                      <w:szCs w:val="20"/>
                    </w:rPr>
                    <w:t>Berpasukan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</w:tcPr>
                <w:p w:rsidR="00EB1BBF" w:rsidRPr="00EB1BBF" w:rsidRDefault="00D35B15" w:rsidP="00DC6FC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5</w:t>
                  </w:r>
                  <w:r w:rsidR="00DC6FC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</w:tr>
          </w:tbl>
          <w:p w:rsidR="00EB1BBF" w:rsidRPr="009D755A" w:rsidRDefault="00EB1BBF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B0743C" w:rsidRPr="009D755A" w:rsidRDefault="00B0743C" w:rsidP="00B0743C">
            <w:pPr>
              <w:jc w:val="left"/>
              <w:rPr>
                <w:bCs/>
                <w:sz w:val="20"/>
                <w:szCs w:val="20"/>
              </w:rPr>
            </w:pPr>
          </w:p>
          <w:p w:rsidR="00B0743C" w:rsidRPr="009D755A" w:rsidRDefault="00B0743C" w:rsidP="00B0743C">
            <w:pPr>
              <w:tabs>
                <w:tab w:val="num" w:pos="360"/>
                <w:tab w:val="left" w:pos="1620"/>
                <w:tab w:val="left" w:pos="4302"/>
                <w:tab w:val="left" w:pos="4842"/>
                <w:tab w:val="left" w:pos="5562"/>
              </w:tabs>
              <w:ind w:left="360" w:hanging="360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EB1BBF">
            <w:pPr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144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3947E8" w:rsidRPr="009D755A" w:rsidTr="003972C7">
              <w:tc>
                <w:tcPr>
                  <w:tcW w:w="499" w:type="dxa"/>
                  <w:shd w:val="clear" w:color="auto" w:fill="auto"/>
                </w:tcPr>
                <w:p w:rsidR="003947E8" w:rsidRPr="009D755A" w:rsidRDefault="003947E8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3947E8" w:rsidRPr="009D755A" w:rsidRDefault="003947E8" w:rsidP="00774595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  <w:r w:rsidR="00774595">
                    <w:rPr>
                      <w:sz w:val="20"/>
                      <w:szCs w:val="20"/>
                    </w:rPr>
                    <w:t xml:space="preserve"> 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3947E8" w:rsidRPr="009D755A" w:rsidRDefault="003947E8" w:rsidP="00900959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3947E8" w:rsidRPr="009D755A" w:rsidRDefault="003D715B" w:rsidP="00774595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  <w:r w:rsidR="003947E8" w:rsidRPr="009D755A">
                    <w:rPr>
                      <w:sz w:val="20"/>
                      <w:szCs w:val="20"/>
                    </w:rPr>
                    <w:t>0</w:t>
                  </w:r>
                  <w:r w:rsidR="00B0743C" w:rsidRPr="009D755A">
                    <w:rPr>
                      <w:sz w:val="20"/>
                      <w:szCs w:val="20"/>
                    </w:rPr>
                    <w:t xml:space="preserve"> </w:t>
                  </w:r>
                  <w:r w:rsidR="00774595"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3947E8" w:rsidRPr="009D755A" w:rsidTr="003972C7">
              <w:tc>
                <w:tcPr>
                  <w:tcW w:w="499" w:type="dxa"/>
                  <w:shd w:val="clear" w:color="auto" w:fill="auto"/>
                </w:tcPr>
                <w:p w:rsidR="003947E8" w:rsidRPr="009D755A" w:rsidRDefault="003947E8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3947E8" w:rsidRPr="009D755A" w:rsidRDefault="003947E8" w:rsidP="00774595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3947E8" w:rsidRPr="009D755A" w:rsidRDefault="003947E8" w:rsidP="00900959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3947E8" w:rsidRPr="009D755A" w:rsidRDefault="003947E8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100</w:t>
                  </w:r>
                  <w:r w:rsidR="00B0743C"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131B30" w:rsidRPr="00EB1BBF" w:rsidRDefault="00131B30" w:rsidP="00131B30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ind w:left="702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Abdullah, A. (2006). </w:t>
            </w:r>
            <w:proofErr w:type="spellStart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>Anggaran</w:t>
            </w:r>
            <w:proofErr w:type="spellEnd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 xml:space="preserve"> Kos </w:t>
            </w:r>
            <w:proofErr w:type="spellStart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>Kerja</w:t>
            </w:r>
            <w:proofErr w:type="spellEnd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>Bangunan</w:t>
            </w:r>
            <w:proofErr w:type="spellEnd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 xml:space="preserve">: </w:t>
            </w:r>
            <w:proofErr w:type="spellStart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>Berdasarkan</w:t>
            </w:r>
            <w:proofErr w:type="spellEnd"/>
            <w:r w:rsidRPr="00EB1BBF">
              <w:rPr>
                <w:rFonts w:asciiTheme="majorHAnsi" w:hAnsiTheme="majorHAnsi" w:cs="Arial"/>
                <w:i/>
                <w:sz w:val="20"/>
                <w:szCs w:val="20"/>
                <w:lang w:val="en-CA"/>
              </w:rPr>
              <w:t xml:space="preserve"> SMM2</w:t>
            </w:r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Edisi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2.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Petaling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Jaya: Prentice Hall.</w:t>
            </w:r>
          </w:p>
          <w:p w:rsidR="00131B30" w:rsidRPr="00EB1BBF" w:rsidRDefault="00131B30" w:rsidP="00131B30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ind w:left="702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Abdullah, A. &amp; Abdul Rashid, K. (2004).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Pengukuran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Kuantiti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Bangunan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: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Berserta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Contoh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Kerja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Berdasarkan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SMM 2.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Petaling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Jaya: Prentice Hall.</w:t>
            </w:r>
          </w:p>
          <w:p w:rsidR="00131B30" w:rsidRPr="00EB1BBF" w:rsidRDefault="00131B30" w:rsidP="00131B30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ind w:left="702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Abd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>Rasid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R. (). </w:t>
            </w:r>
          </w:p>
          <w:p w:rsidR="00131B30" w:rsidRPr="00EB1BBF" w:rsidRDefault="00131B30" w:rsidP="00131B30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ind w:left="702"/>
              <w:jc w:val="both"/>
              <w:rPr>
                <w:rFonts w:asciiTheme="majorHAnsi" w:hAnsiTheme="majorHAnsi" w:cs="Arial"/>
                <w:sz w:val="20"/>
                <w:szCs w:val="20"/>
                <w:lang w:val="es-ES"/>
              </w:rPr>
            </w:pPr>
            <w:r w:rsidRPr="00EB1BBF">
              <w:rPr>
                <w:rFonts w:asciiTheme="majorHAnsi" w:hAnsiTheme="majorHAnsi" w:cs="Arial"/>
                <w:sz w:val="20"/>
                <w:szCs w:val="20"/>
              </w:rPr>
              <w:t xml:space="preserve">Ali, A. A. &amp; Baba, B. B. (2015). Cost Estimation.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Petaling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Jaya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Dewan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Bahasa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.</w:t>
            </w:r>
          </w:p>
          <w:p w:rsidR="00131B30" w:rsidRPr="00EB1BBF" w:rsidRDefault="00131B30" w:rsidP="00131B30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ind w:left="702"/>
              <w:jc w:val="both"/>
              <w:rPr>
                <w:rFonts w:asciiTheme="majorHAnsi" w:hAnsiTheme="majorHAnsi" w:cs="Arial"/>
                <w:sz w:val="20"/>
                <w:szCs w:val="20"/>
                <w:lang w:val="es-ES"/>
              </w:rPr>
            </w:pPr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Ali, A. A. &amp; Baba, B. B. (2015).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Cost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Estimation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Petaling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Jaya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Dewan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Bahasa</w:t>
            </w:r>
            <w:proofErr w:type="spellEnd"/>
            <w:r w:rsidRPr="00EB1BBF">
              <w:rPr>
                <w:rFonts w:asciiTheme="majorHAnsi" w:hAnsiTheme="majorHAnsi" w:cs="Arial"/>
                <w:sz w:val="20"/>
                <w:szCs w:val="20"/>
                <w:lang w:val="es-ES"/>
              </w:rPr>
              <w:t>.</w:t>
            </w:r>
          </w:p>
          <w:p w:rsidR="001D61D0" w:rsidRPr="001D61D0" w:rsidRDefault="001D61D0" w:rsidP="001D61D0">
            <w:pPr>
              <w:jc w:val="both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00" w:rsidRDefault="00C57400" w:rsidP="006871BF">
      <w:r>
        <w:separator/>
      </w:r>
    </w:p>
  </w:endnote>
  <w:endnote w:type="continuationSeparator" w:id="0">
    <w:p w:rsidR="00C57400" w:rsidRDefault="00C57400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7AC" w:rsidRDefault="00C507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47"/>
      <w:gridCol w:w="39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507AC" w:rsidP="00C33B88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WKK6052</w:t>
          </w:r>
        </w:p>
      </w:tc>
      <w:tc>
        <w:tcPr>
          <w:tcW w:w="450" w:type="dxa"/>
          <w:shd w:val="clear" w:color="auto" w:fill="auto"/>
        </w:tcPr>
        <w:p w:rsidR="00C434B0" w:rsidRPr="00900959" w:rsidRDefault="00F6712C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662F1B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7AC" w:rsidRDefault="00C507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00" w:rsidRDefault="00C57400" w:rsidP="006871BF">
      <w:r>
        <w:separator/>
      </w:r>
    </w:p>
  </w:footnote>
  <w:footnote w:type="continuationSeparator" w:id="0">
    <w:p w:rsidR="00C57400" w:rsidRDefault="00C57400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7AC" w:rsidRDefault="00C507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7AC" w:rsidRDefault="00C507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7941"/>
    <w:multiLevelType w:val="hybridMultilevel"/>
    <w:tmpl w:val="FAD419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40455"/>
    <w:multiLevelType w:val="multilevel"/>
    <w:tmpl w:val="CCF8E7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5DAA"/>
    <w:multiLevelType w:val="hybridMultilevel"/>
    <w:tmpl w:val="31968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E2356"/>
    <w:multiLevelType w:val="hybridMultilevel"/>
    <w:tmpl w:val="82A6B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76584"/>
    <w:multiLevelType w:val="multilevel"/>
    <w:tmpl w:val="837A59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0"/>
  </w:num>
  <w:num w:numId="13">
    <w:abstractNumId w:val="3"/>
  </w:num>
  <w:num w:numId="14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5250E"/>
    <w:rsid w:val="0006580C"/>
    <w:rsid w:val="00095D68"/>
    <w:rsid w:val="000A0DFC"/>
    <w:rsid w:val="000A35D8"/>
    <w:rsid w:val="000C1717"/>
    <w:rsid w:val="000C1F4B"/>
    <w:rsid w:val="000C6BFE"/>
    <w:rsid w:val="0010746C"/>
    <w:rsid w:val="00131B30"/>
    <w:rsid w:val="001818A9"/>
    <w:rsid w:val="00190B3A"/>
    <w:rsid w:val="001B2AD2"/>
    <w:rsid w:val="001C17DD"/>
    <w:rsid w:val="001D61D0"/>
    <w:rsid w:val="001F73EF"/>
    <w:rsid w:val="00206E8C"/>
    <w:rsid w:val="002110E8"/>
    <w:rsid w:val="002131BD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3D715B"/>
    <w:rsid w:val="00415FB8"/>
    <w:rsid w:val="00417CF9"/>
    <w:rsid w:val="00432ED9"/>
    <w:rsid w:val="00473BE7"/>
    <w:rsid w:val="00497404"/>
    <w:rsid w:val="004A4BF7"/>
    <w:rsid w:val="004C5718"/>
    <w:rsid w:val="004D16D5"/>
    <w:rsid w:val="004F33B2"/>
    <w:rsid w:val="00504EF1"/>
    <w:rsid w:val="00506F5C"/>
    <w:rsid w:val="005652F8"/>
    <w:rsid w:val="00566019"/>
    <w:rsid w:val="00580A8E"/>
    <w:rsid w:val="005A7BB7"/>
    <w:rsid w:val="005B4785"/>
    <w:rsid w:val="005D25D2"/>
    <w:rsid w:val="005D4F23"/>
    <w:rsid w:val="00624A73"/>
    <w:rsid w:val="00662F1B"/>
    <w:rsid w:val="00683ADC"/>
    <w:rsid w:val="0068404C"/>
    <w:rsid w:val="006843F7"/>
    <w:rsid w:val="006871BF"/>
    <w:rsid w:val="00696FFB"/>
    <w:rsid w:val="00697803"/>
    <w:rsid w:val="006A28D6"/>
    <w:rsid w:val="006A5132"/>
    <w:rsid w:val="006B0648"/>
    <w:rsid w:val="006B295B"/>
    <w:rsid w:val="006D3952"/>
    <w:rsid w:val="0070488B"/>
    <w:rsid w:val="00727BAB"/>
    <w:rsid w:val="00774595"/>
    <w:rsid w:val="0077562D"/>
    <w:rsid w:val="00780110"/>
    <w:rsid w:val="0079148B"/>
    <w:rsid w:val="007C161B"/>
    <w:rsid w:val="007C17F2"/>
    <w:rsid w:val="007C4402"/>
    <w:rsid w:val="007D49DB"/>
    <w:rsid w:val="007D710D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97694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5412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34B0"/>
    <w:rsid w:val="00C507AC"/>
    <w:rsid w:val="00C52A10"/>
    <w:rsid w:val="00C57400"/>
    <w:rsid w:val="00C706F3"/>
    <w:rsid w:val="00C81D35"/>
    <w:rsid w:val="00C969FE"/>
    <w:rsid w:val="00CA5886"/>
    <w:rsid w:val="00CD62BC"/>
    <w:rsid w:val="00CE56CB"/>
    <w:rsid w:val="00CF1B9E"/>
    <w:rsid w:val="00CF75BD"/>
    <w:rsid w:val="00D2444A"/>
    <w:rsid w:val="00D25034"/>
    <w:rsid w:val="00D34340"/>
    <w:rsid w:val="00D35B15"/>
    <w:rsid w:val="00D434DB"/>
    <w:rsid w:val="00D65A2F"/>
    <w:rsid w:val="00D810A7"/>
    <w:rsid w:val="00D812E6"/>
    <w:rsid w:val="00D84739"/>
    <w:rsid w:val="00DC6FC3"/>
    <w:rsid w:val="00DC7E5F"/>
    <w:rsid w:val="00DF5CE0"/>
    <w:rsid w:val="00E025B4"/>
    <w:rsid w:val="00E074C0"/>
    <w:rsid w:val="00E12A3B"/>
    <w:rsid w:val="00E2493A"/>
    <w:rsid w:val="00E25B14"/>
    <w:rsid w:val="00E338DC"/>
    <w:rsid w:val="00E8446C"/>
    <w:rsid w:val="00EB1BBF"/>
    <w:rsid w:val="00EF192F"/>
    <w:rsid w:val="00F166BF"/>
    <w:rsid w:val="00F21461"/>
    <w:rsid w:val="00F33E58"/>
    <w:rsid w:val="00F573D9"/>
    <w:rsid w:val="00F62B7B"/>
    <w:rsid w:val="00F6712C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7D710D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7D710D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31F70-891F-4BEB-B6FF-610623BE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7</cp:revision>
  <cp:lastPrinted>2015-06-11T05:46:00Z</cp:lastPrinted>
  <dcterms:created xsi:type="dcterms:W3CDTF">2015-11-02T05:41:00Z</dcterms:created>
  <dcterms:modified xsi:type="dcterms:W3CDTF">2015-11-27T02:59:00Z</dcterms:modified>
</cp:coreProperties>
</file>