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04" w:rsidRDefault="001D2D6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Table 3: Summary of information on each course</w:t>
      </w:r>
    </w:p>
    <w:p w:rsidR="00D62E04" w:rsidRDefault="00D62E04">
      <w:pPr>
        <w:rPr>
          <w:rFonts w:ascii="Arial" w:hAnsi="Arial" w:cs="Arial"/>
          <w:sz w:val="22"/>
          <w:szCs w:val="22"/>
        </w:rPr>
      </w:pP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2"/>
        <w:gridCol w:w="1011"/>
        <w:gridCol w:w="2690"/>
        <w:gridCol w:w="132"/>
        <w:gridCol w:w="5371"/>
      </w:tblGrid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701" w:type="dxa"/>
            <w:gridSpan w:val="2"/>
            <w:tcBorders>
              <w:right w:val="nil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Name of Course:</w:t>
            </w:r>
          </w:p>
        </w:tc>
        <w:tc>
          <w:tcPr>
            <w:tcW w:w="5503" w:type="dxa"/>
            <w:gridSpan w:val="2"/>
            <w:tcBorders>
              <w:left w:val="nil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PENGAJIAN MALAYSIA</w:t>
            </w:r>
          </w:p>
        </w:tc>
      </w:tr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701" w:type="dxa"/>
            <w:gridSpan w:val="2"/>
            <w:tcBorders>
              <w:right w:val="nil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Code:</w:t>
            </w:r>
          </w:p>
        </w:tc>
        <w:tc>
          <w:tcPr>
            <w:tcW w:w="5503" w:type="dxa"/>
            <w:gridSpan w:val="2"/>
            <w:tcBorders>
              <w:left w:val="nil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WPA 5012</w:t>
            </w:r>
          </w:p>
        </w:tc>
      </w:tr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701" w:type="dxa"/>
            <w:gridSpan w:val="2"/>
            <w:tcBorders>
              <w:right w:val="nil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Names of academic staff:</w:t>
            </w:r>
          </w:p>
        </w:tc>
        <w:tc>
          <w:tcPr>
            <w:tcW w:w="5503" w:type="dxa"/>
            <w:gridSpan w:val="2"/>
            <w:tcBorders>
              <w:left w:val="nil"/>
            </w:tcBorders>
          </w:tcPr>
          <w:p w:rsidR="00D62E04" w:rsidRDefault="00E75D4F" w:rsidP="00E75D4F">
            <w:pPr>
              <w:tabs>
                <w:tab w:val="left" w:pos="432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Jabatan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Pendidikan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Umum</w:t>
            </w:r>
            <w:proofErr w:type="spellEnd"/>
          </w:p>
          <w:p w:rsidR="00D62E04" w:rsidRDefault="00D62E04">
            <w:pPr>
              <w:tabs>
                <w:tab w:val="left" w:pos="432"/>
              </w:tabs>
              <w:spacing w:before="60" w:after="60"/>
              <w:ind w:left="432" w:hanging="432"/>
              <w:rPr>
                <w:rFonts w:ascii="Arial" w:hAnsi="Arial" w:cs="Arial"/>
                <w:sz w:val="22"/>
                <w:szCs w:val="22"/>
              </w:rPr>
            </w:pPr>
          </w:p>
          <w:p w:rsidR="00D62E04" w:rsidRDefault="00D62E04">
            <w:pPr>
              <w:tabs>
                <w:tab w:val="left" w:pos="432"/>
              </w:tabs>
              <w:spacing w:before="60" w:after="60"/>
              <w:ind w:left="432" w:hanging="432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9204" w:type="dxa"/>
            <w:gridSpan w:val="4"/>
          </w:tcPr>
          <w:p w:rsidR="00D62E04" w:rsidRDefault="001D2D6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Rasional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pemilihan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kursus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modul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program :</w:t>
            </w:r>
          </w:p>
          <w:p w:rsidR="00D62E04" w:rsidRDefault="001D2D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Kursus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bertujuan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ialah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melahirkan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warganegara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setia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cinta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kepada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negara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berwawasan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bangga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sebagai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rakyat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Malaysia,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mampu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menghadapi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cabaran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arah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mencapai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kesejahteraan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hidup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serta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menghayati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peranan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Malaysia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peringkat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antarabangsa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62E04" w:rsidRDefault="00D62E0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833" w:type="dxa"/>
            <w:gridSpan w:val="3"/>
            <w:tcBorders>
              <w:right w:val="nil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Semester and Year offered:</w:t>
            </w:r>
          </w:p>
        </w:tc>
        <w:tc>
          <w:tcPr>
            <w:tcW w:w="5371" w:type="dxa"/>
            <w:tcBorders>
              <w:left w:val="nil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Year 1 Semester 1</w:t>
            </w:r>
          </w:p>
        </w:tc>
      </w:tr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9204" w:type="dxa"/>
            <w:gridSpan w:val="4"/>
            <w:tcBorders>
              <w:bottom w:val="single" w:sz="4" w:space="0" w:color="auto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Total Student Learning Time (SLT):</w:t>
            </w:r>
          </w:p>
          <w:tbl>
            <w:tblPr>
              <w:tblW w:w="8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2429"/>
              <w:gridCol w:w="4065"/>
              <w:gridCol w:w="2339"/>
            </w:tblGrid>
            <w:tr w:rsidR="00D62E04">
              <w:trPr>
                <w:trHeight w:val="315"/>
              </w:trPr>
              <w:tc>
                <w:tcPr>
                  <w:tcW w:w="2429" w:type="dxa"/>
                  <w:vAlign w:val="center"/>
                </w:tcPr>
                <w:p w:rsidR="00D62E04" w:rsidRDefault="001D2D6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Category of Activities</w:t>
                  </w:r>
                </w:p>
              </w:tc>
              <w:tc>
                <w:tcPr>
                  <w:tcW w:w="4065" w:type="dxa"/>
                  <w:vAlign w:val="center"/>
                </w:tcPr>
                <w:p w:rsidR="00D62E04" w:rsidRDefault="001D2D6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Learning Activity</w:t>
                  </w:r>
                </w:p>
              </w:tc>
              <w:tc>
                <w:tcPr>
                  <w:tcW w:w="2339" w:type="dxa"/>
                  <w:vAlign w:val="center"/>
                </w:tcPr>
                <w:p w:rsidR="00D62E04" w:rsidRDefault="001D2D64">
                  <w:pPr>
                    <w:ind w:left="-85" w:right="-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Total Hours/ Semester</w:t>
                  </w:r>
                </w:p>
              </w:tc>
            </w:tr>
            <w:tr w:rsidR="00D62E04">
              <w:trPr>
                <w:trHeight w:val="70"/>
              </w:trPr>
              <w:tc>
                <w:tcPr>
                  <w:tcW w:w="2429" w:type="dxa"/>
                  <w:vMerge w:val="restart"/>
                  <w:vAlign w:val="center"/>
                </w:tcPr>
                <w:p w:rsidR="00D62E04" w:rsidRDefault="001D2D6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Guided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D62E04" w:rsidRDefault="001D2D6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Lecture</w:t>
                  </w:r>
                </w:p>
              </w:tc>
              <w:tc>
                <w:tcPr>
                  <w:tcW w:w="2339" w:type="dxa"/>
                  <w:vAlign w:val="center"/>
                </w:tcPr>
                <w:p w:rsidR="00D62E04" w:rsidRDefault="001D2D6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</w:t>
                  </w:r>
                </w:p>
              </w:tc>
            </w:tr>
            <w:tr w:rsidR="00D62E04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D62E04" w:rsidRDefault="00D62E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D62E04" w:rsidRDefault="001D2D6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Tutorial/Practical</w:t>
                  </w:r>
                </w:p>
              </w:tc>
              <w:tc>
                <w:tcPr>
                  <w:tcW w:w="2339" w:type="dxa"/>
                  <w:vAlign w:val="center"/>
                </w:tcPr>
                <w:p w:rsidR="00D62E04" w:rsidRDefault="001D2D6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D62E04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D62E04" w:rsidRDefault="00D62E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D62E04" w:rsidRDefault="001D2D6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Student centered learning activities</w:t>
                  </w:r>
                </w:p>
              </w:tc>
              <w:tc>
                <w:tcPr>
                  <w:tcW w:w="2339" w:type="dxa"/>
                  <w:vAlign w:val="center"/>
                </w:tcPr>
                <w:p w:rsidR="00D62E04" w:rsidRDefault="001D2D6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D62E04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D62E04" w:rsidRDefault="001D2D6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Self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D62E04" w:rsidRDefault="001D2D6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Preparation for assignments/projects</w:t>
                  </w:r>
                </w:p>
              </w:tc>
              <w:tc>
                <w:tcPr>
                  <w:tcW w:w="2339" w:type="dxa"/>
                  <w:vAlign w:val="center"/>
                </w:tcPr>
                <w:p w:rsidR="00D62E04" w:rsidRDefault="001D2D6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</w:t>
                  </w:r>
                </w:p>
              </w:tc>
            </w:tr>
            <w:tr w:rsidR="00D62E04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D62E04" w:rsidRDefault="00D62E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</w:tcPr>
                <w:p w:rsidR="00D62E04" w:rsidRDefault="001D2D6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Independent study/revision</w:t>
                  </w:r>
                </w:p>
              </w:tc>
              <w:tc>
                <w:tcPr>
                  <w:tcW w:w="2339" w:type="dxa"/>
                  <w:vAlign w:val="center"/>
                </w:tcPr>
                <w:p w:rsidR="00D62E04" w:rsidRDefault="001D2D6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</w:t>
                  </w:r>
                </w:p>
              </w:tc>
            </w:tr>
            <w:tr w:rsidR="00D62E04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D62E04" w:rsidRDefault="00D62E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D62E04" w:rsidRDefault="001D2D6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Preparation for assessment</w:t>
                  </w:r>
                </w:p>
              </w:tc>
              <w:tc>
                <w:tcPr>
                  <w:tcW w:w="2339" w:type="dxa"/>
                  <w:vAlign w:val="center"/>
                </w:tcPr>
                <w:p w:rsidR="00D62E04" w:rsidRDefault="001D2D6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D62E04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D62E04" w:rsidRDefault="001D2D6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Formal assessments</w:t>
                  </w:r>
                </w:p>
              </w:tc>
              <w:tc>
                <w:tcPr>
                  <w:tcW w:w="4065" w:type="dxa"/>
                  <w:vAlign w:val="center"/>
                </w:tcPr>
                <w:p w:rsidR="00D62E04" w:rsidRDefault="001D2D6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Continuous assessments</w:t>
                  </w:r>
                </w:p>
              </w:tc>
              <w:tc>
                <w:tcPr>
                  <w:tcW w:w="2339" w:type="dxa"/>
                  <w:vAlign w:val="center"/>
                </w:tcPr>
                <w:p w:rsidR="00D62E04" w:rsidRDefault="001D2D6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D62E04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D62E04" w:rsidRDefault="00D62E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D62E04" w:rsidRDefault="001D2D6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Final examination sitting</w:t>
                  </w:r>
                </w:p>
              </w:tc>
              <w:tc>
                <w:tcPr>
                  <w:tcW w:w="2339" w:type="dxa"/>
                  <w:vAlign w:val="center"/>
                </w:tcPr>
                <w:p w:rsidR="00D62E04" w:rsidRDefault="001D2D6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D62E04">
              <w:trPr>
                <w:trHeight w:val="315"/>
              </w:trPr>
              <w:tc>
                <w:tcPr>
                  <w:tcW w:w="6494" w:type="dxa"/>
                  <w:gridSpan w:val="2"/>
                  <w:vAlign w:val="center"/>
                </w:tcPr>
                <w:p w:rsidR="00D62E04" w:rsidRDefault="001D2D6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Total SLT</w:t>
                  </w:r>
                </w:p>
              </w:tc>
              <w:tc>
                <w:tcPr>
                  <w:tcW w:w="2339" w:type="dxa"/>
                  <w:vAlign w:val="center"/>
                </w:tcPr>
                <w:p w:rsidR="00D62E04" w:rsidRDefault="001D2D6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80</w:t>
                  </w:r>
                </w:p>
              </w:tc>
            </w:tr>
          </w:tbl>
          <w:p w:rsidR="00D62E04" w:rsidRDefault="00D62E04">
            <w:pPr>
              <w:spacing w:before="60" w:after="60"/>
              <w:rPr>
                <w:rFonts w:ascii="Arial" w:hAnsi="Arial" w:cs="Arial"/>
                <w:sz w:val="10"/>
                <w:szCs w:val="10"/>
              </w:rPr>
            </w:pPr>
          </w:p>
          <w:p w:rsidR="00D62E04" w:rsidRDefault="00D62E04">
            <w:pPr>
              <w:spacing w:before="60" w:after="60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701" w:type="dxa"/>
            <w:gridSpan w:val="2"/>
            <w:tcBorders>
              <w:bottom w:val="single" w:sz="4" w:space="0" w:color="auto"/>
              <w:right w:val="nil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Credit Value:</w:t>
            </w:r>
          </w:p>
        </w:tc>
        <w:tc>
          <w:tcPr>
            <w:tcW w:w="5503" w:type="dxa"/>
            <w:gridSpan w:val="2"/>
            <w:tcBorders>
              <w:left w:val="nil"/>
              <w:bottom w:val="single" w:sz="4" w:space="0" w:color="auto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credits</w:t>
            </w:r>
          </w:p>
        </w:tc>
      </w:tr>
      <w:tr w:rsidR="00D62E04">
        <w:tc>
          <w:tcPr>
            <w:tcW w:w="522" w:type="dxa"/>
            <w:tcBorders>
              <w:bottom w:val="single" w:sz="4" w:space="0" w:color="auto"/>
            </w:tcBorders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3701" w:type="dxa"/>
            <w:gridSpan w:val="2"/>
            <w:tcBorders>
              <w:bottom w:val="single" w:sz="4" w:space="0" w:color="auto"/>
              <w:right w:val="nil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Prerequisite (if any):</w:t>
            </w:r>
          </w:p>
        </w:tc>
        <w:tc>
          <w:tcPr>
            <w:tcW w:w="5503" w:type="dxa"/>
            <w:gridSpan w:val="2"/>
            <w:tcBorders>
              <w:left w:val="nil"/>
              <w:bottom w:val="single" w:sz="4" w:space="0" w:color="auto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</w:tr>
      <w:tr w:rsidR="00D62E04">
        <w:tc>
          <w:tcPr>
            <w:tcW w:w="522" w:type="dxa"/>
            <w:tcBorders>
              <w:bottom w:val="nil"/>
            </w:tcBorders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9204" w:type="dxa"/>
            <w:gridSpan w:val="4"/>
            <w:tcBorders>
              <w:bottom w:val="nil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Learning Outcomes (CLO):</w:t>
            </w:r>
          </w:p>
        </w:tc>
      </w:tr>
      <w:tr w:rsidR="00D62E04">
        <w:tc>
          <w:tcPr>
            <w:tcW w:w="522" w:type="dxa"/>
            <w:tcBorders>
              <w:top w:val="nil"/>
              <w:bottom w:val="nil"/>
            </w:tcBorders>
          </w:tcPr>
          <w:p w:rsidR="00D62E04" w:rsidRDefault="00D62E0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bottom w:val="nil"/>
              <w:right w:val="nil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CLO1</w:t>
            </w:r>
          </w:p>
        </w:tc>
        <w:tc>
          <w:tcPr>
            <w:tcW w:w="8193" w:type="dxa"/>
            <w:gridSpan w:val="3"/>
            <w:tcBorders>
              <w:top w:val="nil"/>
              <w:left w:val="nil"/>
              <w:bottom w:val="nil"/>
            </w:tcBorders>
          </w:tcPr>
          <w:p w:rsidR="00D62E04" w:rsidRPr="00421CBF" w:rsidRDefault="001D2D64">
            <w:pPr>
              <w:pStyle w:val="ListParagraph1"/>
              <w:ind w:left="0"/>
              <w:jc w:val="both"/>
              <w:rPr>
                <w:rFonts w:ascii="Arial" w:eastAsia="Times New Roman" w:hAnsi="Arial" w:cs="Arial"/>
              </w:rPr>
            </w:pPr>
            <w:proofErr w:type="spellStart"/>
            <w:r w:rsidRPr="00421CBF">
              <w:rPr>
                <w:rFonts w:ascii="Arial" w:hAnsi="Arial" w:cs="Arial"/>
              </w:rPr>
              <w:t>Menerangkan</w:t>
            </w:r>
            <w:proofErr w:type="spellEnd"/>
            <w:r w:rsidRPr="00421CBF">
              <w:rPr>
                <w:rFonts w:ascii="Arial" w:hAnsi="Arial" w:cs="Arial"/>
              </w:rPr>
              <w:t xml:space="preserve"> </w:t>
            </w:r>
            <w:proofErr w:type="spellStart"/>
            <w:r w:rsidRPr="00421CBF">
              <w:rPr>
                <w:rFonts w:ascii="Arial" w:hAnsi="Arial" w:cs="Arial"/>
              </w:rPr>
              <w:t>sejarah</w:t>
            </w:r>
            <w:proofErr w:type="spellEnd"/>
            <w:r w:rsidRPr="00421CBF">
              <w:rPr>
                <w:rFonts w:ascii="Arial" w:hAnsi="Arial" w:cs="Arial"/>
              </w:rPr>
              <w:t xml:space="preserve"> </w:t>
            </w:r>
            <w:proofErr w:type="spellStart"/>
            <w:r w:rsidRPr="00421CBF">
              <w:rPr>
                <w:rFonts w:ascii="Arial" w:hAnsi="Arial" w:cs="Arial"/>
              </w:rPr>
              <w:t>pembangunan</w:t>
            </w:r>
            <w:proofErr w:type="spellEnd"/>
            <w:r w:rsidRPr="00421CBF">
              <w:rPr>
                <w:rFonts w:ascii="Arial" w:hAnsi="Arial" w:cs="Arial"/>
              </w:rPr>
              <w:t xml:space="preserve"> </w:t>
            </w:r>
            <w:proofErr w:type="spellStart"/>
            <w:r w:rsidRPr="00421CBF">
              <w:rPr>
                <w:rFonts w:ascii="Arial" w:hAnsi="Arial" w:cs="Arial"/>
              </w:rPr>
              <w:t>bangsa</w:t>
            </w:r>
            <w:proofErr w:type="spellEnd"/>
            <w:r w:rsidRPr="00421CBF">
              <w:rPr>
                <w:rFonts w:ascii="Arial" w:hAnsi="Arial" w:cs="Arial"/>
              </w:rPr>
              <w:t xml:space="preserve"> </w:t>
            </w:r>
            <w:proofErr w:type="spellStart"/>
            <w:r w:rsidRPr="00421CBF">
              <w:rPr>
                <w:rFonts w:ascii="Arial" w:hAnsi="Arial" w:cs="Arial"/>
              </w:rPr>
              <w:t>dan</w:t>
            </w:r>
            <w:proofErr w:type="spellEnd"/>
            <w:r w:rsidRPr="00421CBF">
              <w:rPr>
                <w:rFonts w:ascii="Arial" w:hAnsi="Arial" w:cs="Arial"/>
              </w:rPr>
              <w:t xml:space="preserve"> </w:t>
            </w:r>
            <w:proofErr w:type="spellStart"/>
            <w:r w:rsidRPr="00421CBF">
              <w:rPr>
                <w:rFonts w:ascii="Arial" w:hAnsi="Arial" w:cs="Arial"/>
              </w:rPr>
              <w:t>negara</w:t>
            </w:r>
            <w:proofErr w:type="spellEnd"/>
            <w:r w:rsidRPr="00421CBF">
              <w:rPr>
                <w:rFonts w:ascii="Arial" w:hAnsi="Arial" w:cs="Arial"/>
              </w:rPr>
              <w:t>. (C2, PLO1)</w:t>
            </w:r>
          </w:p>
        </w:tc>
      </w:tr>
      <w:tr w:rsidR="00D62E04">
        <w:tc>
          <w:tcPr>
            <w:tcW w:w="522" w:type="dxa"/>
            <w:tcBorders>
              <w:top w:val="nil"/>
              <w:bottom w:val="nil"/>
            </w:tcBorders>
          </w:tcPr>
          <w:p w:rsidR="00D62E04" w:rsidRDefault="00D62E0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bottom w:val="nil"/>
              <w:right w:val="nil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CLO2</w:t>
            </w:r>
          </w:p>
        </w:tc>
        <w:tc>
          <w:tcPr>
            <w:tcW w:w="8193" w:type="dxa"/>
            <w:gridSpan w:val="3"/>
            <w:tcBorders>
              <w:top w:val="nil"/>
              <w:left w:val="nil"/>
              <w:bottom w:val="nil"/>
            </w:tcBorders>
          </w:tcPr>
          <w:p w:rsidR="00D62E04" w:rsidRPr="00421CBF" w:rsidRDefault="001D2D64">
            <w:pPr>
              <w:pStyle w:val="ListParagraph1"/>
              <w:ind w:left="0"/>
              <w:jc w:val="both"/>
              <w:rPr>
                <w:rFonts w:ascii="Arial" w:eastAsia="Times New Roman" w:hAnsi="Arial" w:cs="Arial"/>
              </w:rPr>
            </w:pPr>
            <w:proofErr w:type="spellStart"/>
            <w:r w:rsidRPr="00421CBF">
              <w:rPr>
                <w:rFonts w:ascii="Arial" w:hAnsi="Arial" w:cs="Arial"/>
              </w:rPr>
              <w:t>Menghuraikan</w:t>
            </w:r>
            <w:proofErr w:type="spellEnd"/>
            <w:r w:rsidRPr="00421CBF">
              <w:rPr>
                <w:rFonts w:ascii="Arial" w:hAnsi="Arial" w:cs="Arial"/>
              </w:rPr>
              <w:t xml:space="preserve"> </w:t>
            </w:r>
            <w:proofErr w:type="spellStart"/>
            <w:r w:rsidRPr="00421CBF">
              <w:rPr>
                <w:rFonts w:ascii="Arial" w:hAnsi="Arial" w:cs="Arial"/>
              </w:rPr>
              <w:t>dasar-dasar</w:t>
            </w:r>
            <w:proofErr w:type="spellEnd"/>
            <w:r w:rsidRPr="00421CBF">
              <w:rPr>
                <w:rFonts w:ascii="Arial" w:hAnsi="Arial" w:cs="Arial"/>
              </w:rPr>
              <w:t xml:space="preserve"> </w:t>
            </w:r>
            <w:proofErr w:type="spellStart"/>
            <w:r w:rsidRPr="00421CBF">
              <w:rPr>
                <w:rFonts w:ascii="Arial" w:hAnsi="Arial" w:cs="Arial"/>
              </w:rPr>
              <w:t>utama</w:t>
            </w:r>
            <w:proofErr w:type="spellEnd"/>
            <w:r w:rsidRPr="00421CBF">
              <w:rPr>
                <w:rFonts w:ascii="Arial" w:hAnsi="Arial" w:cs="Arial"/>
              </w:rPr>
              <w:t xml:space="preserve"> </w:t>
            </w:r>
            <w:proofErr w:type="spellStart"/>
            <w:r w:rsidRPr="00421CBF">
              <w:rPr>
                <w:rFonts w:ascii="Arial" w:hAnsi="Arial" w:cs="Arial"/>
              </w:rPr>
              <w:t>kerajaan</w:t>
            </w:r>
            <w:proofErr w:type="spellEnd"/>
            <w:r w:rsidRPr="00421CBF">
              <w:rPr>
                <w:rFonts w:ascii="Arial" w:hAnsi="Arial" w:cs="Arial"/>
              </w:rPr>
              <w:t>. (P2, PLO5)</w:t>
            </w:r>
          </w:p>
        </w:tc>
      </w:tr>
      <w:tr w:rsidR="00D62E04">
        <w:tc>
          <w:tcPr>
            <w:tcW w:w="522" w:type="dxa"/>
            <w:tcBorders>
              <w:top w:val="nil"/>
              <w:bottom w:val="single" w:sz="4" w:space="0" w:color="auto"/>
            </w:tcBorders>
          </w:tcPr>
          <w:p w:rsidR="00D62E04" w:rsidRDefault="00D62E0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bottom w:val="single" w:sz="4" w:space="0" w:color="auto"/>
              <w:right w:val="nil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CLO3</w:t>
            </w:r>
          </w:p>
        </w:tc>
        <w:tc>
          <w:tcPr>
            <w:tcW w:w="8193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D62E04" w:rsidRPr="00421CBF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21CBF">
              <w:rPr>
                <w:rFonts w:ascii="Arial" w:hAnsi="Arial" w:cs="Arial"/>
                <w:sz w:val="22"/>
                <w:szCs w:val="22"/>
              </w:rPr>
              <w:t>Mengamalkan</w:t>
            </w:r>
            <w:proofErr w:type="spellEnd"/>
            <w:r w:rsidRPr="00421C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21CBF">
              <w:rPr>
                <w:rFonts w:ascii="Arial" w:hAnsi="Arial" w:cs="Arial"/>
                <w:sz w:val="22"/>
                <w:szCs w:val="22"/>
              </w:rPr>
              <w:t>prinsip-prinsip</w:t>
            </w:r>
            <w:proofErr w:type="spellEnd"/>
            <w:r w:rsidRPr="00421C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21CBF">
              <w:rPr>
                <w:rFonts w:ascii="Arial" w:hAnsi="Arial" w:cs="Arial"/>
                <w:sz w:val="22"/>
                <w:szCs w:val="22"/>
              </w:rPr>
              <w:t>Rukun</w:t>
            </w:r>
            <w:proofErr w:type="spellEnd"/>
            <w:r w:rsidRPr="00421CBF">
              <w:rPr>
                <w:rFonts w:ascii="Arial" w:hAnsi="Arial" w:cs="Arial"/>
                <w:sz w:val="22"/>
                <w:szCs w:val="22"/>
              </w:rPr>
              <w:t xml:space="preserve"> Negara </w:t>
            </w:r>
            <w:proofErr w:type="spellStart"/>
            <w:r w:rsidRPr="00421CBF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421C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21CBF">
              <w:rPr>
                <w:rFonts w:ascii="Arial" w:hAnsi="Arial" w:cs="Arial"/>
                <w:sz w:val="22"/>
                <w:szCs w:val="22"/>
              </w:rPr>
              <w:t>mithali</w:t>
            </w:r>
            <w:proofErr w:type="spellEnd"/>
            <w:r w:rsidRPr="00421CBF">
              <w:rPr>
                <w:rFonts w:ascii="Arial" w:hAnsi="Arial" w:cs="Arial"/>
                <w:sz w:val="22"/>
                <w:szCs w:val="22"/>
              </w:rPr>
              <w:t>. (A2, PLO6)</w:t>
            </w:r>
          </w:p>
        </w:tc>
      </w:tr>
      <w:tr w:rsidR="00D62E04">
        <w:tc>
          <w:tcPr>
            <w:tcW w:w="522" w:type="dxa"/>
            <w:tcBorders>
              <w:bottom w:val="nil"/>
            </w:tcBorders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9204" w:type="dxa"/>
            <w:gridSpan w:val="4"/>
            <w:tcBorders>
              <w:bottom w:val="nil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Transferable Skills (Skills and how they are developed and assessed, project and practical experience and internship):</w:t>
            </w:r>
          </w:p>
        </w:tc>
      </w:tr>
      <w:tr w:rsidR="00D62E04">
        <w:tc>
          <w:tcPr>
            <w:tcW w:w="522" w:type="dxa"/>
            <w:tcBorders>
              <w:top w:val="nil"/>
            </w:tcBorders>
          </w:tcPr>
          <w:p w:rsidR="00D62E04" w:rsidRDefault="00D62E0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right w:val="nil"/>
            </w:tcBorders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PLO5</w:t>
            </w:r>
          </w:p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PLO6</w:t>
            </w:r>
          </w:p>
        </w:tc>
        <w:tc>
          <w:tcPr>
            <w:tcW w:w="8193" w:type="dxa"/>
            <w:gridSpan w:val="3"/>
            <w:tcBorders>
              <w:top w:val="nil"/>
              <w:left w:val="nil"/>
            </w:tcBorders>
          </w:tcPr>
          <w:p w:rsidR="00D62E04" w:rsidRDefault="00F13BD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Kemahiran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social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secara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berkesan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projek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individu</w:t>
            </w:r>
            <w:proofErr w:type="spellEnd"/>
          </w:p>
          <w:p w:rsidR="00D62E04" w:rsidRDefault="00F13BD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Profesionalisme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nilai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etika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secara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berkesan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projek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berkumpulan</w:t>
            </w:r>
            <w:proofErr w:type="spellEnd"/>
          </w:p>
          <w:p w:rsidR="00F13BD3" w:rsidRDefault="00F13BD3">
            <w:pPr>
              <w:rPr>
                <w:rFonts w:ascii="Arial" w:hAnsi="Arial" w:cs="Arial"/>
                <w:sz w:val="22"/>
                <w:szCs w:val="22"/>
              </w:rPr>
            </w:pPr>
          </w:p>
          <w:p w:rsidR="00F13BD3" w:rsidRDefault="00F13BD3">
            <w:pPr>
              <w:rPr>
                <w:rFonts w:ascii="Arial" w:hAnsi="Arial" w:cs="Arial"/>
                <w:sz w:val="22"/>
                <w:szCs w:val="22"/>
              </w:rPr>
            </w:pPr>
          </w:p>
          <w:p w:rsidR="00F13BD3" w:rsidRDefault="00F13BD3">
            <w:pPr>
              <w:rPr>
                <w:rFonts w:ascii="Arial" w:hAnsi="Arial" w:cs="Arial"/>
                <w:sz w:val="22"/>
                <w:szCs w:val="22"/>
              </w:rPr>
            </w:pPr>
          </w:p>
          <w:p w:rsidR="00F13BD3" w:rsidRDefault="00F13BD3">
            <w:pPr>
              <w:rPr>
                <w:rFonts w:ascii="Arial" w:hAnsi="Arial" w:cs="Arial"/>
                <w:sz w:val="22"/>
                <w:szCs w:val="22"/>
              </w:rPr>
            </w:pPr>
          </w:p>
          <w:p w:rsidR="00F13BD3" w:rsidRDefault="00F13BD3">
            <w:pPr>
              <w:rPr>
                <w:rFonts w:ascii="Arial" w:hAnsi="Arial" w:cs="Arial"/>
                <w:sz w:val="22"/>
                <w:szCs w:val="22"/>
              </w:rPr>
            </w:pPr>
          </w:p>
          <w:p w:rsidR="00F13BD3" w:rsidRDefault="00F13BD3">
            <w:pPr>
              <w:rPr>
                <w:rFonts w:ascii="Arial" w:hAnsi="Arial" w:cs="Arial"/>
                <w:sz w:val="22"/>
                <w:szCs w:val="22"/>
              </w:rPr>
            </w:pPr>
          </w:p>
          <w:p w:rsidR="00F13BD3" w:rsidRDefault="00F13BD3">
            <w:pPr>
              <w:rPr>
                <w:rFonts w:ascii="Arial" w:hAnsi="Arial" w:cs="Arial"/>
                <w:sz w:val="22"/>
                <w:szCs w:val="22"/>
              </w:rPr>
            </w:pPr>
          </w:p>
          <w:p w:rsidR="00D62E04" w:rsidRDefault="00D62E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11.</w:t>
            </w:r>
          </w:p>
        </w:tc>
        <w:tc>
          <w:tcPr>
            <w:tcW w:w="9204" w:type="dxa"/>
            <w:gridSpan w:val="4"/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Teaching-learning and assessment strategies:</w:t>
            </w:r>
          </w:p>
          <w:p w:rsidR="00D62E04" w:rsidRDefault="00D62E04">
            <w:pPr>
              <w:spacing w:before="60" w:after="60"/>
              <w:rPr>
                <w:rFonts w:ascii="Arial" w:hAnsi="Arial" w:cs="Arial"/>
                <w:sz w:val="10"/>
                <w:szCs w:val="10"/>
              </w:rPr>
            </w:pPr>
          </w:p>
          <w:tbl>
            <w:tblPr>
              <w:tblW w:w="89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50"/>
              <w:gridCol w:w="2837"/>
              <w:gridCol w:w="1980"/>
              <w:gridCol w:w="2193"/>
              <w:gridCol w:w="1218"/>
            </w:tblGrid>
            <w:tr w:rsidR="00D62E04">
              <w:tc>
                <w:tcPr>
                  <w:tcW w:w="3587" w:type="dxa"/>
                  <w:gridSpan w:val="2"/>
                  <w:tcBorders>
                    <w:bottom w:val="single" w:sz="4" w:space="0" w:color="auto"/>
                  </w:tcBorders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CLO</w:t>
                  </w:r>
                </w:p>
              </w:tc>
              <w:tc>
                <w:tcPr>
                  <w:tcW w:w="1980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Method of delivery</w:t>
                  </w:r>
                </w:p>
              </w:tc>
              <w:tc>
                <w:tcPr>
                  <w:tcW w:w="2193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Method of assessment</w:t>
                  </w:r>
                </w:p>
              </w:tc>
              <w:tc>
                <w:tcPr>
                  <w:tcW w:w="1218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KPI</w:t>
                  </w:r>
                </w:p>
              </w:tc>
            </w:tr>
            <w:tr w:rsidR="00D62E04">
              <w:tc>
                <w:tcPr>
                  <w:tcW w:w="750" w:type="dxa"/>
                  <w:tcBorders>
                    <w:right w:val="nil"/>
                  </w:tcBorders>
                </w:tcPr>
                <w:p w:rsidR="00D62E04" w:rsidRDefault="001D2D6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CLO1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D62E04" w:rsidRDefault="001D2D64"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Menerangkan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sejarah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pembangunan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bangsa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dan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negara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. (C2, PLO1)</w:t>
                  </w:r>
                </w:p>
                <w:p w:rsidR="00D62E04" w:rsidRDefault="00D62E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</w:tcPr>
                <w:p w:rsidR="00D62E04" w:rsidRDefault="001D2D64"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Kuliah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dan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Aktiviti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Berpusatkan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Pelajar</w:t>
                  </w:r>
                  <w:proofErr w:type="spellEnd"/>
                </w:p>
                <w:p w:rsidR="00D62E04" w:rsidRDefault="00D62E0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193" w:type="dxa"/>
                </w:tcPr>
                <w:p w:rsidR="00D62E04" w:rsidRDefault="001D2D64"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Kuiz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,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Penilaian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Akhir</w:t>
                  </w:r>
                  <w:proofErr w:type="spellEnd"/>
                </w:p>
                <w:p w:rsidR="00D62E04" w:rsidRDefault="00D62E0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218" w:type="dxa"/>
                </w:tcPr>
                <w:p w:rsidR="00D62E04" w:rsidRDefault="001D2D64"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Markah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50%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dan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ke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atas</w:t>
                  </w:r>
                  <w:proofErr w:type="spellEnd"/>
                </w:p>
                <w:p w:rsidR="00D62E04" w:rsidRDefault="00D62E0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62E04">
              <w:tc>
                <w:tcPr>
                  <w:tcW w:w="750" w:type="dxa"/>
                  <w:tcBorders>
                    <w:right w:val="nil"/>
                  </w:tcBorders>
                </w:tcPr>
                <w:p w:rsidR="00D62E04" w:rsidRDefault="001D2D6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CLO2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D62E04" w:rsidRDefault="001D2D64"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Menghuraikan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dasar-dasar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utama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kerajaan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. (P2, PLO5)</w:t>
                  </w:r>
                </w:p>
                <w:p w:rsidR="00D62E04" w:rsidRDefault="00D62E0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</w:tcPr>
                <w:p w:rsidR="00D62E04" w:rsidRDefault="001D2D64"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Kuliah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dan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Aktiviti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Berpusatkan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Pelajar</w:t>
                  </w:r>
                  <w:proofErr w:type="spellEnd"/>
                </w:p>
                <w:p w:rsidR="00D62E04" w:rsidRDefault="00D62E0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193" w:type="dxa"/>
                </w:tcPr>
                <w:p w:rsidR="00D62E04" w:rsidRDefault="001D2D64">
                  <w:pP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</w:pP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Kuiz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,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Tugasan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Individu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,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Penilaian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Akhir</w:t>
                  </w:r>
                  <w:proofErr w:type="spellEnd"/>
                </w:p>
                <w:p w:rsidR="00D62E04" w:rsidRDefault="00D62E04">
                  <w:pP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18" w:type="dxa"/>
                </w:tcPr>
                <w:p w:rsidR="00D62E04" w:rsidRDefault="001D2D64"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Markah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50%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dan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ke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atas</w:t>
                  </w:r>
                  <w:proofErr w:type="spellEnd"/>
                </w:p>
                <w:p w:rsidR="00D62E04" w:rsidRDefault="00D62E0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62E04">
              <w:tc>
                <w:tcPr>
                  <w:tcW w:w="750" w:type="dxa"/>
                  <w:tcBorders>
                    <w:right w:val="nil"/>
                  </w:tcBorders>
                </w:tcPr>
                <w:p w:rsidR="00D62E04" w:rsidRDefault="001D2D6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CLO3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D62E04" w:rsidRDefault="001D2D64"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Mengamalkan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prinsip-prinsip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Rukun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Negara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dengan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mithali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. (A2, PLO6)</w:t>
                  </w:r>
                </w:p>
                <w:p w:rsidR="00D62E04" w:rsidRDefault="00D62E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</w:tcPr>
                <w:p w:rsidR="00D62E04" w:rsidRDefault="001D2D64"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Kuliah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dan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Aktiviti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Berpusatkan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Pelajar</w:t>
                  </w:r>
                  <w:proofErr w:type="spellEnd"/>
                </w:p>
                <w:p w:rsidR="00D62E04" w:rsidRDefault="00D62E0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193" w:type="dxa"/>
                </w:tcPr>
                <w:p w:rsidR="00D62E04" w:rsidRDefault="001D2D64"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Tugasan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Kumpulan,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Pembentangan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,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Penilaian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Akhir</w:t>
                  </w:r>
                  <w:proofErr w:type="spellEnd"/>
                </w:p>
                <w:p w:rsidR="00D62E04" w:rsidRDefault="00D62E0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218" w:type="dxa"/>
                </w:tcPr>
                <w:p w:rsidR="00D62E04" w:rsidRDefault="001D2D64"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Markah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50%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dan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ke</w:t>
                  </w:r>
                  <w:proofErr w:type="spellEnd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ahoma" w:eastAsia="Tahoma" w:hAnsi="Tahoma" w:cs="Tahoma"/>
                      <w:sz w:val="20"/>
                      <w:szCs w:val="20"/>
                      <w:lang w:eastAsia="zh-CN"/>
                    </w:rPr>
                    <w:t>atas</w:t>
                  </w:r>
                  <w:proofErr w:type="spellEnd"/>
                </w:p>
                <w:p w:rsidR="00D62E04" w:rsidRDefault="00D62E0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D62E04" w:rsidRDefault="00D62E0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D62E04" w:rsidRDefault="00D62E04">
            <w:pPr>
              <w:spacing w:before="60" w:after="60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9204" w:type="dxa"/>
            <w:gridSpan w:val="4"/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Synopsis:</w:t>
            </w:r>
          </w:p>
          <w:p w:rsidR="00D62E04" w:rsidRDefault="001D2D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pelajaran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disusun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menumpukan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perhatian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kepada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sejarah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pembangunan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negara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bangsa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Selain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itu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dasar-dasar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utama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kerajaan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diterangkan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kepada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pelajar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pemahaman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pelajar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dinilai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tugasan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individu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Disamping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itu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penghayatan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Rukun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Negara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diri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setiap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pelajar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juga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ditekankan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melahirkan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seorang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warganegara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Malaysia yang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bertanggungjawab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9204" w:type="dxa"/>
            <w:gridSpan w:val="4"/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 of Delivery (e.g. Lecture, Tutorial, Workshop, Seminar etc):</w:t>
            </w:r>
          </w:p>
          <w:p w:rsidR="00D62E04" w:rsidRDefault="001D2D6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ahoma" w:hAnsi="Arial" w:cs="Arial"/>
                <w:sz w:val="22"/>
                <w:szCs w:val="22"/>
                <w:lang w:eastAsia="zh-CN"/>
              </w:rPr>
              <w:t>Kuliah</w:t>
            </w:r>
            <w:proofErr w:type="spellEnd"/>
            <w:r>
              <w:rPr>
                <w:rFonts w:ascii="Arial" w:eastAsia="Tahoma" w:hAnsi="Arial" w:cs="Arial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Arial" w:eastAsia="Tahoma" w:hAnsi="Arial" w:cs="Arial"/>
                <w:sz w:val="22"/>
                <w:szCs w:val="22"/>
                <w:lang w:eastAsia="zh-CN"/>
              </w:rPr>
              <w:t>dan</w:t>
            </w:r>
            <w:proofErr w:type="spellEnd"/>
            <w:r>
              <w:rPr>
                <w:rFonts w:ascii="Arial" w:eastAsia="Tahoma" w:hAnsi="Arial" w:cs="Arial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Arial" w:eastAsia="Tahoma" w:hAnsi="Arial" w:cs="Arial"/>
                <w:sz w:val="22"/>
                <w:szCs w:val="22"/>
                <w:lang w:eastAsia="zh-CN"/>
              </w:rPr>
              <w:t>Aktiviti</w:t>
            </w:r>
            <w:proofErr w:type="spellEnd"/>
            <w:r>
              <w:rPr>
                <w:rFonts w:ascii="Arial" w:eastAsia="Tahoma" w:hAnsi="Arial" w:cs="Arial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Arial" w:eastAsia="Tahoma" w:hAnsi="Arial" w:cs="Arial"/>
                <w:sz w:val="22"/>
                <w:szCs w:val="22"/>
                <w:lang w:eastAsia="zh-CN"/>
              </w:rPr>
              <w:t>Berpusatkan</w:t>
            </w:r>
            <w:proofErr w:type="spellEnd"/>
            <w:r>
              <w:rPr>
                <w:rFonts w:ascii="Arial" w:eastAsia="Tahoma" w:hAnsi="Arial" w:cs="Arial"/>
                <w:sz w:val="22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="Arial" w:eastAsia="Tahoma" w:hAnsi="Arial" w:cs="Arial"/>
                <w:sz w:val="22"/>
                <w:szCs w:val="22"/>
                <w:lang w:eastAsia="zh-CN"/>
              </w:rPr>
              <w:t>Pelajar</w:t>
            </w:r>
            <w:proofErr w:type="spellEnd"/>
          </w:p>
          <w:p w:rsidR="00D62E04" w:rsidRDefault="00D62E0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9204" w:type="dxa"/>
            <w:gridSpan w:val="4"/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Assessment Methods and Types:</w:t>
            </w:r>
          </w:p>
          <w:tbl>
            <w:tblPr>
              <w:tblW w:w="89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53"/>
              <w:gridCol w:w="5429"/>
              <w:gridCol w:w="2991"/>
            </w:tblGrid>
            <w:tr w:rsidR="00D62E04">
              <w:tc>
                <w:tcPr>
                  <w:tcW w:w="553" w:type="dxa"/>
                </w:tcPr>
                <w:p w:rsidR="00D62E04" w:rsidRDefault="001D2D64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Bil</w:t>
                  </w:r>
                  <w:proofErr w:type="spellEnd"/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5429" w:type="dxa"/>
                </w:tcPr>
                <w:p w:rsidR="00D62E04" w:rsidRDefault="001D2D64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Jenis</w:t>
                  </w:r>
                  <w:proofErr w:type="spellEnd"/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Pentaksiran</w:t>
                  </w:r>
                  <w:proofErr w:type="spellEnd"/>
                </w:p>
              </w:tc>
              <w:tc>
                <w:tcPr>
                  <w:tcW w:w="2991" w:type="dxa"/>
                </w:tcPr>
                <w:p w:rsidR="00D62E04" w:rsidRDefault="001D2D64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Markah</w:t>
                  </w:r>
                  <w:proofErr w:type="spellEnd"/>
                </w:p>
              </w:tc>
            </w:tr>
            <w:tr w:rsidR="00D62E04">
              <w:tc>
                <w:tcPr>
                  <w:tcW w:w="553" w:type="dxa"/>
                </w:tcPr>
                <w:p w:rsidR="00D62E04" w:rsidRDefault="001D2D6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429" w:type="dxa"/>
                </w:tcPr>
                <w:p w:rsidR="00D62E04" w:rsidRDefault="001D2D6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Penilaian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Berterusan</w:t>
                  </w:r>
                  <w:proofErr w:type="spellEnd"/>
                </w:p>
              </w:tc>
              <w:tc>
                <w:tcPr>
                  <w:tcW w:w="2991" w:type="dxa"/>
                </w:tcPr>
                <w:p w:rsidR="00D62E04" w:rsidRDefault="001D2D64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60%</w:t>
                  </w:r>
                </w:p>
              </w:tc>
            </w:tr>
            <w:tr w:rsidR="00D62E04">
              <w:tc>
                <w:tcPr>
                  <w:tcW w:w="553" w:type="dxa"/>
                </w:tcPr>
                <w:p w:rsidR="00D62E04" w:rsidRDefault="00D62E0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429" w:type="dxa"/>
                </w:tcPr>
                <w:p w:rsidR="00D62E04" w:rsidRDefault="001D2D6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a. Folio                </w:t>
                  </w:r>
                </w:p>
              </w:tc>
              <w:tc>
                <w:tcPr>
                  <w:tcW w:w="2991" w:type="dxa"/>
                </w:tcPr>
                <w:p w:rsidR="00D62E04" w:rsidRDefault="001D2D6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20%</w:t>
                  </w:r>
                </w:p>
              </w:tc>
            </w:tr>
            <w:tr w:rsidR="00D62E04">
              <w:tc>
                <w:tcPr>
                  <w:tcW w:w="553" w:type="dxa"/>
                </w:tcPr>
                <w:p w:rsidR="00D62E04" w:rsidRDefault="00D62E0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429" w:type="dxa"/>
                </w:tcPr>
                <w:p w:rsidR="00D62E04" w:rsidRDefault="001D2D6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b.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Pembentangan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991" w:type="dxa"/>
                </w:tcPr>
                <w:p w:rsidR="00D62E04" w:rsidRDefault="001D2D6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15%</w:t>
                  </w:r>
                </w:p>
              </w:tc>
            </w:tr>
            <w:tr w:rsidR="00D62E04">
              <w:tc>
                <w:tcPr>
                  <w:tcW w:w="553" w:type="dxa"/>
                </w:tcPr>
                <w:p w:rsidR="00D62E04" w:rsidRDefault="00D62E0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429" w:type="dxa"/>
                </w:tcPr>
                <w:p w:rsidR="00D62E04" w:rsidRDefault="001D2D6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c.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Kuiz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                </w:t>
                  </w:r>
                </w:p>
              </w:tc>
              <w:tc>
                <w:tcPr>
                  <w:tcW w:w="2991" w:type="dxa"/>
                </w:tcPr>
                <w:p w:rsidR="00D62E04" w:rsidRDefault="001D2D6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20%</w:t>
                  </w:r>
                </w:p>
              </w:tc>
            </w:tr>
            <w:tr w:rsidR="00D62E04">
              <w:tc>
                <w:tcPr>
                  <w:tcW w:w="553" w:type="dxa"/>
                </w:tcPr>
                <w:p w:rsidR="00D62E04" w:rsidRDefault="00D62E0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429" w:type="dxa"/>
                </w:tcPr>
                <w:p w:rsidR="00D62E04" w:rsidRDefault="001D2D6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d.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Komitmen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        </w:t>
                  </w:r>
                </w:p>
              </w:tc>
              <w:tc>
                <w:tcPr>
                  <w:tcW w:w="2991" w:type="dxa"/>
                </w:tcPr>
                <w:p w:rsidR="00D62E04" w:rsidRDefault="001D2D6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5%</w:t>
                  </w:r>
                </w:p>
              </w:tc>
            </w:tr>
            <w:tr w:rsidR="00D62E04">
              <w:tc>
                <w:tcPr>
                  <w:tcW w:w="553" w:type="dxa"/>
                </w:tcPr>
                <w:p w:rsidR="00D62E04" w:rsidRDefault="00D62E0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429" w:type="dxa"/>
                </w:tcPr>
                <w:p w:rsidR="00D62E04" w:rsidRDefault="00D62E0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991" w:type="dxa"/>
                </w:tcPr>
                <w:p w:rsidR="00D62E04" w:rsidRDefault="00D62E0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D62E04">
              <w:tc>
                <w:tcPr>
                  <w:tcW w:w="553" w:type="dxa"/>
                </w:tcPr>
                <w:p w:rsidR="00D62E04" w:rsidRDefault="001D2D6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429" w:type="dxa"/>
                </w:tcPr>
                <w:p w:rsidR="00D62E04" w:rsidRDefault="001D2D6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Penilaian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Akhir</w:t>
                  </w:r>
                  <w:proofErr w:type="spellEnd"/>
                </w:p>
              </w:tc>
              <w:tc>
                <w:tcPr>
                  <w:tcW w:w="2991" w:type="dxa"/>
                </w:tcPr>
                <w:p w:rsidR="00D62E04" w:rsidRDefault="001D2D64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40%</w:t>
                  </w:r>
                </w:p>
              </w:tc>
            </w:tr>
            <w:tr w:rsidR="00D62E04">
              <w:tc>
                <w:tcPr>
                  <w:tcW w:w="553" w:type="dxa"/>
                </w:tcPr>
                <w:p w:rsidR="00D62E04" w:rsidRDefault="00D62E04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429" w:type="dxa"/>
                </w:tcPr>
                <w:p w:rsidR="00D62E04" w:rsidRDefault="001D2D64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Jumlah</w:t>
                  </w:r>
                  <w:proofErr w:type="spellEnd"/>
                </w:p>
              </w:tc>
              <w:tc>
                <w:tcPr>
                  <w:tcW w:w="2991" w:type="dxa"/>
                </w:tcPr>
                <w:p w:rsidR="00D62E04" w:rsidRDefault="001D2D64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100 %</w:t>
                  </w:r>
                </w:p>
              </w:tc>
            </w:tr>
          </w:tbl>
          <w:p w:rsidR="00D62E04" w:rsidRDefault="00D62E0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62E04" w:rsidRDefault="00D62E0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62E04" w:rsidRDefault="00D62E0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9204" w:type="dxa"/>
            <w:gridSpan w:val="4"/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Mapping of the course to the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Programme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Educational Objectives (PEO):</w:t>
            </w:r>
          </w:p>
          <w:p w:rsidR="00D62E04" w:rsidRDefault="00D62E04">
            <w:pPr>
              <w:spacing w:before="60" w:after="60"/>
              <w:rPr>
                <w:rFonts w:ascii="Arial" w:hAnsi="Arial" w:cs="Arial"/>
                <w:sz w:val="10"/>
                <w:szCs w:val="10"/>
              </w:rPr>
            </w:pPr>
          </w:p>
          <w:tbl>
            <w:tblPr>
              <w:tblW w:w="35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881"/>
              <w:gridCol w:w="881"/>
              <w:gridCol w:w="882"/>
              <w:gridCol w:w="881"/>
            </w:tblGrid>
            <w:tr w:rsidR="00D62E04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PEO1</w:t>
                  </w:r>
                </w:p>
              </w:tc>
              <w:tc>
                <w:tcPr>
                  <w:tcW w:w="881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PEO2</w:t>
                  </w:r>
                </w:p>
              </w:tc>
              <w:tc>
                <w:tcPr>
                  <w:tcW w:w="882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PEO3</w:t>
                  </w:r>
                </w:p>
              </w:tc>
              <w:tc>
                <w:tcPr>
                  <w:tcW w:w="881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PEO4</w:t>
                  </w:r>
                </w:p>
              </w:tc>
            </w:tr>
            <w:tr w:rsidR="00D62E04">
              <w:tc>
                <w:tcPr>
                  <w:tcW w:w="881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D62E04" w:rsidRDefault="00D62E04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D62E04" w:rsidRDefault="00D62E04">
            <w:pPr>
              <w:spacing w:before="60" w:after="60"/>
              <w:rPr>
                <w:rFonts w:ascii="Arial" w:hAnsi="Arial" w:cs="Arial"/>
                <w:sz w:val="6"/>
                <w:szCs w:val="6"/>
              </w:rPr>
            </w:pPr>
          </w:p>
          <w:p w:rsidR="00D62E04" w:rsidRDefault="00D62E0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9204" w:type="dxa"/>
            <w:gridSpan w:val="4"/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Mapping of the course to the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Programme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Learning Outcomes (PLO):</w:t>
            </w:r>
          </w:p>
          <w:p w:rsidR="00D62E04" w:rsidRDefault="00D62E04">
            <w:pPr>
              <w:spacing w:before="60" w:after="60"/>
              <w:rPr>
                <w:rFonts w:ascii="Arial" w:hAnsi="Arial" w:cs="Arial"/>
                <w:sz w:val="10"/>
                <w:szCs w:val="10"/>
              </w:rPr>
            </w:pPr>
          </w:p>
          <w:tbl>
            <w:tblPr>
              <w:tblW w:w="7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881"/>
              <w:gridCol w:w="881"/>
              <w:gridCol w:w="882"/>
              <w:gridCol w:w="881"/>
              <w:gridCol w:w="882"/>
              <w:gridCol w:w="881"/>
              <w:gridCol w:w="882"/>
              <w:gridCol w:w="881"/>
              <w:gridCol w:w="882"/>
            </w:tblGrid>
            <w:tr w:rsidR="00D62E04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PLO1</w:t>
                  </w:r>
                </w:p>
              </w:tc>
              <w:tc>
                <w:tcPr>
                  <w:tcW w:w="881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PLO2</w:t>
                  </w:r>
                </w:p>
              </w:tc>
              <w:tc>
                <w:tcPr>
                  <w:tcW w:w="882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PLO3</w:t>
                  </w:r>
                </w:p>
              </w:tc>
              <w:tc>
                <w:tcPr>
                  <w:tcW w:w="881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PLO4</w:t>
                  </w:r>
                </w:p>
              </w:tc>
              <w:tc>
                <w:tcPr>
                  <w:tcW w:w="882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PLO5</w:t>
                  </w:r>
                </w:p>
              </w:tc>
              <w:tc>
                <w:tcPr>
                  <w:tcW w:w="881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PLO6</w:t>
                  </w:r>
                </w:p>
              </w:tc>
              <w:tc>
                <w:tcPr>
                  <w:tcW w:w="882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PLO7</w:t>
                  </w:r>
                </w:p>
              </w:tc>
              <w:tc>
                <w:tcPr>
                  <w:tcW w:w="881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PLO8</w:t>
                  </w:r>
                </w:p>
              </w:tc>
              <w:tc>
                <w:tcPr>
                  <w:tcW w:w="882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PLO9</w:t>
                  </w:r>
                </w:p>
              </w:tc>
            </w:tr>
            <w:tr w:rsidR="00D62E04">
              <w:tc>
                <w:tcPr>
                  <w:tcW w:w="881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D62E04" w:rsidRDefault="00D62E0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2" w:type="dxa"/>
                </w:tcPr>
                <w:p w:rsidR="00D62E04" w:rsidRDefault="00D62E04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1" w:type="dxa"/>
                </w:tcPr>
                <w:p w:rsidR="00D62E04" w:rsidRDefault="00D62E0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2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D62E04" w:rsidRDefault="00D62E04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1" w:type="dxa"/>
                </w:tcPr>
                <w:p w:rsidR="00D62E04" w:rsidRDefault="00D62E04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2" w:type="dxa"/>
                </w:tcPr>
                <w:p w:rsidR="00D62E04" w:rsidRDefault="00D62E04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D62E04" w:rsidRDefault="00D62E04">
            <w:pPr>
              <w:spacing w:before="60" w:after="60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17.</w:t>
            </w:r>
          </w:p>
        </w:tc>
        <w:tc>
          <w:tcPr>
            <w:tcW w:w="9204" w:type="dxa"/>
            <w:gridSpan w:val="4"/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Content outline of the course and the SLT (lecture hours) per topic:</w:t>
            </w:r>
          </w:p>
          <w:p w:rsidR="00D62E04" w:rsidRDefault="00D62E0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89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48"/>
              <w:gridCol w:w="606"/>
              <w:gridCol w:w="639"/>
              <w:gridCol w:w="5760"/>
              <w:gridCol w:w="1228"/>
            </w:tblGrid>
            <w:tr w:rsidR="00D62E04">
              <w:tc>
                <w:tcPr>
                  <w:tcW w:w="748" w:type="dxa"/>
                  <w:tcBorders>
                    <w:bottom w:val="single" w:sz="4" w:space="0" w:color="auto"/>
                  </w:tcBorders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Week</w:t>
                  </w:r>
                </w:p>
              </w:tc>
              <w:tc>
                <w:tcPr>
                  <w:tcW w:w="7005" w:type="dxa"/>
                  <w:gridSpan w:val="3"/>
                  <w:tcBorders>
                    <w:bottom w:val="single" w:sz="4" w:space="0" w:color="auto"/>
                  </w:tcBorders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Topic</w:t>
                  </w:r>
                </w:p>
              </w:tc>
              <w:tc>
                <w:tcPr>
                  <w:tcW w:w="1228" w:type="dxa"/>
                  <w:tcBorders>
                    <w:bottom w:val="single" w:sz="4" w:space="0" w:color="auto"/>
                  </w:tcBorders>
                  <w:vAlign w:val="center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SLT (hrs)</w:t>
                  </w:r>
                </w:p>
              </w:tc>
            </w:tr>
            <w:tr w:rsidR="00D62E04">
              <w:tc>
                <w:tcPr>
                  <w:tcW w:w="748" w:type="dxa"/>
                  <w:tcBorders>
                    <w:bottom w:val="nil"/>
                    <w:right w:val="single" w:sz="4" w:space="0" w:color="auto"/>
                  </w:tcBorders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1-3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D62E04" w:rsidRDefault="001D2D6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D62E04" w:rsidRDefault="001D2D6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Sejarah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Dan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Politik</w:t>
                  </w:r>
                  <w:proofErr w:type="spellEnd"/>
                </w:p>
              </w:tc>
              <w:tc>
                <w:tcPr>
                  <w:tcW w:w="1228" w:type="dxa"/>
                  <w:tcBorders>
                    <w:bottom w:val="nil"/>
                  </w:tcBorders>
                  <w:vAlign w:val="center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</w:tr>
            <w:tr w:rsidR="00D62E04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D62E04" w:rsidRDefault="00D62E0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62E04" w:rsidRDefault="00D62E0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2E04" w:rsidRDefault="00D62E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D62E04" w:rsidRDefault="001D2D64">
                  <w:pPr>
                    <w:pStyle w:val="ListParagraph1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1.1 </w:t>
                  </w:r>
                  <w:proofErr w:type="spellStart"/>
                  <w:r>
                    <w:rPr>
                      <w:rFonts w:ascii="Arial" w:hAnsi="Arial" w:cs="Arial"/>
                    </w:rPr>
                    <w:t>Latar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Belakang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Sejarah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Awal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Negara</w:t>
                  </w:r>
                </w:p>
                <w:p w:rsidR="00D62E04" w:rsidRDefault="001D2D64">
                  <w:pPr>
                    <w:pStyle w:val="ListParagraph1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1.2 </w:t>
                  </w:r>
                  <w:proofErr w:type="spellStart"/>
                  <w:r>
                    <w:rPr>
                      <w:rFonts w:ascii="Arial" w:hAnsi="Arial" w:cs="Arial"/>
                    </w:rPr>
                    <w:t>Kemerdekaan</w:t>
                  </w:r>
                  <w:proofErr w:type="spellEnd"/>
                </w:p>
                <w:p w:rsidR="00D62E04" w:rsidRDefault="001D2D64">
                  <w:pPr>
                    <w:pStyle w:val="ListParagraph1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1.3 </w:t>
                  </w:r>
                  <w:proofErr w:type="spellStart"/>
                  <w:r>
                    <w:rPr>
                      <w:rFonts w:ascii="Arial" w:hAnsi="Arial" w:cs="Arial"/>
                    </w:rPr>
                    <w:t>Pebentukan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Malaysia</w:t>
                  </w:r>
                </w:p>
                <w:p w:rsidR="00D62E04" w:rsidRDefault="001D2D64">
                  <w:pPr>
                    <w:pStyle w:val="ListParagraph1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1.4 </w:t>
                  </w:r>
                  <w:proofErr w:type="spellStart"/>
                  <w:r>
                    <w:rPr>
                      <w:rFonts w:ascii="Arial" w:hAnsi="Arial" w:cs="Arial"/>
                    </w:rPr>
                    <w:t>Sistem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dan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struktur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pentadbiran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Negara</w:t>
                  </w:r>
                </w:p>
                <w:p w:rsidR="00D62E04" w:rsidRDefault="001D2D64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1.5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Demokrasi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berparlimen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di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Malaysia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  <w:vAlign w:val="center"/>
                </w:tcPr>
                <w:p w:rsidR="00D62E04" w:rsidRDefault="00D62E0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62E04">
              <w:tc>
                <w:tcPr>
                  <w:tcW w:w="74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D62E04" w:rsidRDefault="00D62E0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62E04" w:rsidRDefault="00D62E0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2E04" w:rsidRDefault="00D62E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60" w:type="dxa"/>
                  <w:tcBorders>
                    <w:top w:val="nil"/>
                    <w:left w:val="nil"/>
                    <w:bottom w:val="nil"/>
                  </w:tcBorders>
                </w:tcPr>
                <w:p w:rsidR="00D62E04" w:rsidRDefault="00D62E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  <w:vAlign w:val="center"/>
                </w:tcPr>
                <w:p w:rsidR="00D62E04" w:rsidRDefault="00D62E0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62E04">
              <w:tc>
                <w:tcPr>
                  <w:tcW w:w="748" w:type="dxa"/>
                  <w:tcBorders>
                    <w:right w:val="single" w:sz="4" w:space="0" w:color="auto"/>
                  </w:tcBorders>
                  <w:vAlign w:val="center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4-6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D62E04" w:rsidRDefault="001D2D6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.2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nil"/>
                  </w:tcBorders>
                </w:tcPr>
                <w:p w:rsidR="00D62E04" w:rsidRDefault="001D2D64">
                  <w:pPr>
                    <w:tabs>
                      <w:tab w:val="left" w:pos="540"/>
                      <w:tab w:val="left" w:pos="600"/>
                    </w:tabs>
                    <w:spacing w:line="276" w:lineRule="auto"/>
                    <w:ind w:left="351" w:hanging="351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Perlembagaan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Malaysia</w:t>
                  </w:r>
                </w:p>
                <w:p w:rsidR="00D62E04" w:rsidRDefault="001D2D64">
                  <w:pPr>
                    <w:pStyle w:val="ListParagraph1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2.1 </w:t>
                  </w:r>
                  <w:proofErr w:type="spellStart"/>
                  <w:r>
                    <w:rPr>
                      <w:rFonts w:ascii="Arial" w:hAnsi="Arial" w:cs="Arial"/>
                    </w:rPr>
                    <w:t>Keluhuran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Perlembagaan</w:t>
                  </w:r>
                  <w:proofErr w:type="spellEnd"/>
                </w:p>
                <w:p w:rsidR="00D62E04" w:rsidRDefault="001D2D64">
                  <w:pPr>
                    <w:pStyle w:val="ListParagraph1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2.2 </w:t>
                  </w:r>
                  <w:proofErr w:type="spellStart"/>
                  <w:r>
                    <w:rPr>
                      <w:rFonts w:ascii="Arial" w:hAnsi="Arial" w:cs="Arial"/>
                    </w:rPr>
                    <w:t>Peruntukan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Utama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Perlembagaan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Malaysia</w:t>
                  </w:r>
                </w:p>
                <w:p w:rsidR="00D62E04" w:rsidRDefault="00D62E04">
                  <w:pPr>
                    <w:tabs>
                      <w:tab w:val="left" w:pos="540"/>
                      <w:tab w:val="left" w:pos="600"/>
                    </w:tabs>
                    <w:spacing w:line="276" w:lineRule="auto"/>
                    <w:ind w:left="351" w:hanging="351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vAlign w:val="center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6 </w:t>
                  </w:r>
                </w:p>
              </w:tc>
            </w:tr>
            <w:tr w:rsidR="00D62E04">
              <w:trPr>
                <w:trHeight w:val="698"/>
              </w:trPr>
              <w:tc>
                <w:tcPr>
                  <w:tcW w:w="748" w:type="dxa"/>
                  <w:tcBorders>
                    <w:right w:val="single" w:sz="4" w:space="0" w:color="auto"/>
                  </w:tcBorders>
                  <w:vAlign w:val="center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7-9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D62E04" w:rsidRDefault="001D2D6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</w:tcBorders>
                </w:tcPr>
                <w:p w:rsidR="00D62E04" w:rsidRDefault="001D2D64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Kemasyarakatan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Dan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Perpaduan</w:t>
                  </w:r>
                  <w:proofErr w:type="spellEnd"/>
                </w:p>
                <w:p w:rsidR="00D62E04" w:rsidRDefault="001D2D64">
                  <w:pPr>
                    <w:pStyle w:val="ListParagraph1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3.1 </w:t>
                  </w:r>
                  <w:proofErr w:type="spellStart"/>
                  <w:r>
                    <w:rPr>
                      <w:rFonts w:ascii="Arial" w:hAnsi="Arial" w:cs="Arial"/>
                    </w:rPr>
                    <w:t>Komposisi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Etnik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Penduduk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Malaysia</w:t>
                  </w:r>
                </w:p>
                <w:p w:rsidR="00D62E04" w:rsidRDefault="001D2D64">
                  <w:pPr>
                    <w:pStyle w:val="ListParagraph1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3.2 </w:t>
                  </w:r>
                  <w:proofErr w:type="spellStart"/>
                  <w:r>
                    <w:rPr>
                      <w:rFonts w:ascii="Arial" w:hAnsi="Arial" w:cs="Arial"/>
                    </w:rPr>
                    <w:t>Perpaduan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Negara Dan </w:t>
                  </w:r>
                  <w:proofErr w:type="spellStart"/>
                  <w:r>
                    <w:rPr>
                      <w:rFonts w:ascii="Arial" w:hAnsi="Arial" w:cs="Arial"/>
                    </w:rPr>
                    <w:t>Integrasi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Nasional</w:t>
                  </w:r>
                  <w:proofErr w:type="spellEnd"/>
                </w:p>
                <w:p w:rsidR="00D62E04" w:rsidRDefault="001D2D64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      3.3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Rukun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Negara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Sebagai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Idealogi</w:t>
                  </w:r>
                  <w:proofErr w:type="spellEnd"/>
                </w:p>
                <w:p w:rsidR="00D62E04" w:rsidRDefault="00D62E04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vAlign w:val="center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</w:tr>
            <w:tr w:rsidR="00D62E04">
              <w:trPr>
                <w:trHeight w:val="698"/>
              </w:trPr>
              <w:tc>
                <w:tcPr>
                  <w:tcW w:w="748" w:type="dxa"/>
                  <w:tcBorders>
                    <w:right w:val="single" w:sz="4" w:space="0" w:color="auto"/>
                  </w:tcBorders>
                  <w:vAlign w:val="center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10-11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D62E04" w:rsidRDefault="001D2D6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</w:tcBorders>
                </w:tcPr>
                <w:p w:rsidR="00D62E04" w:rsidRDefault="001D2D64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Pembangunan Negara</w:t>
                  </w:r>
                </w:p>
                <w:p w:rsidR="00D62E04" w:rsidRDefault="001D2D64">
                  <w:pPr>
                    <w:pStyle w:val="ListParagraph1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4.1 </w:t>
                  </w:r>
                  <w:proofErr w:type="spellStart"/>
                  <w:r>
                    <w:rPr>
                      <w:rFonts w:ascii="Arial" w:hAnsi="Arial" w:cs="Arial"/>
                    </w:rPr>
                    <w:t>Rancangan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Dan </w:t>
                  </w:r>
                  <w:proofErr w:type="spellStart"/>
                  <w:r>
                    <w:rPr>
                      <w:rFonts w:ascii="Arial" w:hAnsi="Arial" w:cs="Arial"/>
                    </w:rPr>
                    <w:t>Visi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Pembangunan</w:t>
                  </w:r>
                </w:p>
                <w:p w:rsidR="00D62E04" w:rsidRDefault="001D2D64">
                  <w:pPr>
                    <w:pStyle w:val="ListParagraph1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4.2 </w:t>
                  </w:r>
                  <w:proofErr w:type="spellStart"/>
                  <w:r>
                    <w:rPr>
                      <w:rFonts w:ascii="Arial" w:hAnsi="Arial" w:cs="Arial"/>
                    </w:rPr>
                    <w:t>Dasar-Dasar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Utama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Malaysia</w:t>
                  </w:r>
                </w:p>
                <w:p w:rsidR="00D62E04" w:rsidRDefault="00D62E04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vAlign w:val="center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D62E04">
              <w:tc>
                <w:tcPr>
                  <w:tcW w:w="748" w:type="dxa"/>
                  <w:tcBorders>
                    <w:right w:val="single" w:sz="4" w:space="0" w:color="auto"/>
                  </w:tcBorders>
                  <w:vAlign w:val="center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12-14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62E04" w:rsidRDefault="001D2D6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99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:rsidR="00D62E04" w:rsidRDefault="001D2D64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Isu-Isu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Keprihatinan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Negara</w:t>
                  </w:r>
                </w:p>
                <w:p w:rsidR="00D62E04" w:rsidRDefault="001D2D64">
                  <w:pPr>
                    <w:pStyle w:val="ListParagraph1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5.1 </w:t>
                  </w:r>
                  <w:proofErr w:type="spellStart"/>
                  <w:r>
                    <w:rPr>
                      <w:rFonts w:ascii="Arial" w:hAnsi="Arial" w:cs="Arial"/>
                    </w:rPr>
                    <w:t>Dasar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Malaysia </w:t>
                  </w:r>
                  <w:proofErr w:type="spellStart"/>
                  <w:r>
                    <w:rPr>
                      <w:rFonts w:ascii="Arial" w:hAnsi="Arial" w:cs="Arial"/>
                    </w:rPr>
                    <w:t>Mengenai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Hal </w:t>
                  </w:r>
                  <w:proofErr w:type="spellStart"/>
                  <w:r>
                    <w:rPr>
                      <w:rFonts w:ascii="Arial" w:hAnsi="Arial" w:cs="Arial"/>
                    </w:rPr>
                    <w:t>Ehwal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Serantau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</w:p>
                <w:p w:rsidR="00D62E04" w:rsidRDefault="001D2D64">
                  <w:pPr>
                    <w:pStyle w:val="ListParagraph1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    Dan </w:t>
                  </w:r>
                  <w:proofErr w:type="spellStart"/>
                  <w:r>
                    <w:rPr>
                      <w:rFonts w:ascii="Arial" w:hAnsi="Arial" w:cs="Arial"/>
                    </w:rPr>
                    <w:t>Dunia</w:t>
                  </w:r>
                  <w:proofErr w:type="spellEnd"/>
                </w:p>
                <w:p w:rsidR="00D62E04" w:rsidRDefault="001D2D64">
                  <w:pPr>
                    <w:pStyle w:val="ListParagraph1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5.2 Pembangunan Dan </w:t>
                  </w:r>
                  <w:proofErr w:type="spellStart"/>
                  <w:r>
                    <w:rPr>
                      <w:rFonts w:ascii="Arial" w:hAnsi="Arial" w:cs="Arial"/>
                    </w:rPr>
                    <w:t>Alam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Sekitar</w:t>
                  </w:r>
                  <w:proofErr w:type="spellEnd"/>
                </w:p>
                <w:p w:rsidR="00D62E04" w:rsidRDefault="001D2D64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      5.3 Pembangunan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Insan</w:t>
                  </w:r>
                  <w:proofErr w:type="spellEnd"/>
                </w:p>
              </w:tc>
              <w:tc>
                <w:tcPr>
                  <w:tcW w:w="1228" w:type="dxa"/>
                  <w:vAlign w:val="center"/>
                </w:tcPr>
                <w:p w:rsidR="00D62E04" w:rsidRDefault="001D2D64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D62E04" w:rsidRDefault="00D62E04">
            <w:pPr>
              <w:spacing w:before="60" w:after="60"/>
              <w:rPr>
                <w:rFonts w:ascii="Arial" w:hAnsi="Arial" w:cs="Arial"/>
                <w:sz w:val="6"/>
                <w:szCs w:val="6"/>
              </w:rPr>
            </w:pPr>
          </w:p>
          <w:p w:rsidR="00D62E04" w:rsidRDefault="00D62E04">
            <w:pPr>
              <w:spacing w:before="60" w:after="60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9204" w:type="dxa"/>
            <w:gridSpan w:val="4"/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 and additional references supporting the course:</w:t>
            </w:r>
          </w:p>
          <w:p w:rsidR="00D62E04" w:rsidRDefault="001D2D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Rujukan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utama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D62E04" w:rsidRDefault="001D2D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Nazaruddin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Haji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Mohd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Jail,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Ma’rof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Redzuan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Asnarulkhadi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Abu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Samah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Dan Ismail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Mohd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Rashid. 2004.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Pengajian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Malaysia :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Kenegaraan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Kewarganegaraan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Edisi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Kedua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Petaling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Jaya. Prentice Hall.</w:t>
            </w:r>
          </w:p>
          <w:p w:rsidR="00D62E04" w:rsidRDefault="00D62E04">
            <w:pPr>
              <w:tabs>
                <w:tab w:val="left" w:pos="360"/>
              </w:tabs>
              <w:ind w:left="360" w:hanging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E04">
        <w:tc>
          <w:tcPr>
            <w:tcW w:w="522" w:type="dxa"/>
          </w:tcPr>
          <w:p w:rsidR="00D62E04" w:rsidRDefault="001D2D6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9204" w:type="dxa"/>
            <w:gridSpan w:val="4"/>
          </w:tcPr>
          <w:p w:rsidR="00D62E04" w:rsidRDefault="001D2D6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Other additional information: -</w:t>
            </w:r>
          </w:p>
          <w:p w:rsidR="00D62E04" w:rsidRDefault="001D2D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Rujukan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tambahan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D62E04" w:rsidRDefault="001D2D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Mardiana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Hasnah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Hussin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2001.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Pengajian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Malaysia</w:t>
            </w:r>
            <w:r>
              <w:rPr>
                <w:rFonts w:ascii="Arial" w:hAnsi="Arial" w:cs="Arial"/>
                <w:sz w:val="22"/>
                <w:szCs w:val="22"/>
              </w:rPr>
              <w:t xml:space="preserve">. Kuala Lumpur.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Penerbit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Fajar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Bakti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62E04" w:rsidRDefault="001D2D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INTAN.1991</w:t>
            </w:r>
            <w:r>
              <w:rPr>
                <w:rFonts w:ascii="Arial" w:hAnsi="Arial" w:cs="Arial"/>
                <w:i/>
                <w:sz w:val="22"/>
                <w:szCs w:val="22"/>
              </w:rPr>
              <w:t>. Malaysia Kita</w:t>
            </w:r>
            <w:r>
              <w:rPr>
                <w:rFonts w:ascii="Arial" w:hAnsi="Arial" w:cs="Arial"/>
                <w:sz w:val="22"/>
                <w:szCs w:val="22"/>
              </w:rPr>
              <w:t xml:space="preserve">. Kuala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Lumpur 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Institute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Tadbiran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Awam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Negara.</w:t>
            </w:r>
          </w:p>
          <w:p w:rsidR="00D62E04" w:rsidRDefault="001D2D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Mohamed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Suffian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Hashim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1994.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Mengenal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Perlembaaan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Malaysia.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Edisi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Kedua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Kuala Lumpur.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Dewan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Bahsa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Pustaka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13BD3" w:rsidRDefault="001D2D64" w:rsidP="00F13BD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Zainal Abidin Wahid. 1979.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Sejarah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Malaysia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Sepintas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Lalu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Kuala Lumpur.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Dewan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Bahasa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Pustaka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13BD3" w:rsidRDefault="00F13BD3" w:rsidP="00F13BD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62E04" w:rsidRDefault="00D62E04">
      <w:pPr>
        <w:rPr>
          <w:rFonts w:ascii="Arial" w:hAnsi="Arial" w:cs="Arial"/>
          <w:sz w:val="22"/>
          <w:szCs w:val="22"/>
        </w:rPr>
        <w:sectPr w:rsidR="00D62E04">
          <w:footerReference w:type="even" r:id="rId7"/>
          <w:footerReference w:type="default" r:id="rId8"/>
          <w:pgSz w:w="11907" w:h="16840"/>
          <w:pgMar w:top="1247" w:right="1134" w:bottom="1247" w:left="1418" w:header="720" w:footer="720" w:gutter="0"/>
          <w:cols w:space="720"/>
          <w:docGrid w:linePitch="360"/>
        </w:sectPr>
      </w:pPr>
    </w:p>
    <w:p w:rsidR="00D62E04" w:rsidRDefault="00D62E04"/>
    <w:sectPr w:rsidR="00D62E04" w:rsidSect="007A5F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75F" w:rsidRDefault="00F9775F">
      <w:r>
        <w:separator/>
      </w:r>
    </w:p>
  </w:endnote>
  <w:endnote w:type="continuationSeparator" w:id="0">
    <w:p w:rsidR="00F9775F" w:rsidRDefault="00F977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E04" w:rsidRDefault="007A5F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2D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2E04" w:rsidRDefault="00D62E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E04" w:rsidRDefault="00D62E04">
    <w:pPr>
      <w:pStyle w:val="Footer"/>
      <w:jc w:val="right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75F" w:rsidRDefault="00F9775F">
      <w:r>
        <w:separator/>
      </w:r>
    </w:p>
  </w:footnote>
  <w:footnote w:type="continuationSeparator" w:id="0">
    <w:p w:rsidR="00F9775F" w:rsidRDefault="00F977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E04"/>
    <w:rsid w:val="00045AA9"/>
    <w:rsid w:val="001C0E59"/>
    <w:rsid w:val="001D2D64"/>
    <w:rsid w:val="00421CBF"/>
    <w:rsid w:val="007A5FFB"/>
    <w:rsid w:val="00D62E04"/>
    <w:rsid w:val="00E75D4F"/>
    <w:rsid w:val="00F13BD3"/>
    <w:rsid w:val="00F9775F"/>
    <w:rsid w:val="00FC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nhideWhenUsed="0"/>
    <w:lsdException w:name="caption" w:uiPriority="35" w:qFormat="1"/>
    <w:lsdException w:name="page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FFB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A5FFB"/>
    <w:pPr>
      <w:tabs>
        <w:tab w:val="center" w:pos="4320"/>
        <w:tab w:val="right" w:pos="8640"/>
      </w:tabs>
    </w:pPr>
    <w:rPr>
      <w:lang/>
    </w:rPr>
  </w:style>
  <w:style w:type="character" w:styleId="PageNumber">
    <w:name w:val="page number"/>
    <w:basedOn w:val="DefaultParagraphFont"/>
    <w:rsid w:val="007A5FFB"/>
  </w:style>
  <w:style w:type="paragraph" w:customStyle="1" w:styleId="ListParagraph1">
    <w:name w:val="List Paragraph1"/>
    <w:basedOn w:val="Normal"/>
    <w:uiPriority w:val="34"/>
    <w:qFormat/>
    <w:rsid w:val="007A5F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rsid w:val="007A5FF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045AA9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rsid w:val="00045AA9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709</Words>
  <Characters>4045</Characters>
  <Application>Microsoft Office Word</Application>
  <DocSecurity>0</DocSecurity>
  <Lines>33</Lines>
  <Paragraphs>9</Paragraphs>
  <ScaleCrop>false</ScaleCrop>
  <Company/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3: Summary of information on each course</dc:title>
  <dc:creator>User</dc:creator>
  <cp:lastModifiedBy>hasruddin.hasbullah</cp:lastModifiedBy>
  <cp:revision>5</cp:revision>
  <dcterms:created xsi:type="dcterms:W3CDTF">2015-04-22T03:52:00Z</dcterms:created>
  <dcterms:modified xsi:type="dcterms:W3CDTF">2015-11-24T08:34:00Z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